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FZXiaoBiaoSong-B05S" w:hAnsi="FZXiaoBiaoSong-B05S" w:eastAsia="FZXiaoBiaoSong-B05S" w:cs="FZXiaoBiaoSong-B05S"/>
          <w:color w:val="FF0000"/>
          <w:kern w:val="0"/>
          <w:sz w:val="103"/>
          <w:szCs w:val="103"/>
          <w:lang w:val="en-US" w:eastAsia="zh-CN" w:bidi="ar"/>
        </w:rPr>
        <w:t>黄岩</w:t>
      </w:r>
      <w:r>
        <w:rPr>
          <w:rFonts w:ascii="FZXiaoBiaoSong-B05S" w:hAnsi="FZXiaoBiaoSong-B05S" w:eastAsia="FZXiaoBiaoSong-B05S" w:cs="FZXiaoBiaoSong-B05S"/>
          <w:color w:val="FF0000"/>
          <w:kern w:val="0"/>
          <w:sz w:val="103"/>
          <w:szCs w:val="103"/>
          <w:lang w:val="en-US" w:eastAsia="zh-CN" w:bidi="ar"/>
        </w:rPr>
        <w:t xml:space="preserve">知识产权要讯 </w:t>
      </w:r>
    </w:p>
    <w:p>
      <w:pPr>
        <w:keepNext w:val="0"/>
        <w:keepLines w:val="0"/>
        <w:widowControl/>
        <w:suppressLineNumbers w:val="0"/>
        <w:jc w:val="center"/>
      </w:pPr>
      <w:r>
        <w:rPr>
          <w:rFonts w:hint="eastAsia" w:ascii="FZXiaoBiaoSong-B05S" w:hAnsi="FZXiaoBiaoSong-B05S" w:eastAsia="FZXiaoBiaoSong-B05S" w:cs="FZXiaoBiaoSong-B05S"/>
          <w:color w:val="FF0000"/>
          <w:kern w:val="0"/>
          <w:sz w:val="31"/>
          <w:szCs w:val="31"/>
          <w:lang w:val="en-US" w:eastAsia="zh-CN" w:bidi="ar"/>
        </w:rPr>
        <w:t>第 4 期</w:t>
      </w:r>
    </w:p>
    <w:p>
      <w:pPr>
        <w:keepNext w:val="0"/>
        <w:keepLines w:val="0"/>
        <w:widowControl/>
        <w:suppressLineNumbers w:val="0"/>
        <w:jc w:val="center"/>
        <w:rPr>
          <w:rFonts w:hint="eastAsia" w:ascii="FZXiaoBiaoSong-B05S" w:hAnsi="FZXiaoBiaoSong-B05S" w:eastAsia="FZXiaoBiaoSong-B05S" w:cs="FZXiaoBiaoSong-B05S"/>
          <w:color w:val="FF0000"/>
          <w:kern w:val="0"/>
          <w:sz w:val="31"/>
          <w:szCs w:val="31"/>
          <w:lang w:val="en-US" w:eastAsia="zh-CN" w:bidi="ar"/>
        </w:rPr>
      </w:pPr>
      <w:r>
        <w:rPr>
          <w:rFonts w:hint="eastAsia" w:ascii="FZXiaoBiaoSong-B05S" w:hAnsi="FZXiaoBiaoSong-B05S" w:eastAsia="FZXiaoBiaoSong-B05S" w:cs="FZXiaoBiaoSong-B05S"/>
          <w:color w:val="FF0000"/>
          <w:kern w:val="0"/>
          <w:sz w:val="31"/>
          <w:szCs w:val="31"/>
          <w:lang w:val="en-US" w:eastAsia="zh-CN" w:bidi="ar"/>
        </w:rPr>
        <w:t>（总第 4期）</w:t>
      </w:r>
    </w:p>
    <w:p>
      <w:pPr>
        <w:keepNext w:val="0"/>
        <w:keepLines w:val="0"/>
        <w:widowControl/>
        <w:suppressLineNumbers w:val="0"/>
        <w:jc w:val="center"/>
        <w:rPr>
          <w:rFonts w:hint="default" w:ascii="FangSong" w:hAnsi="FangSong" w:eastAsia="FangSong" w:cs="FangSong"/>
          <w:color w:val="000000"/>
          <w:kern w:val="0"/>
          <w:sz w:val="31"/>
          <w:szCs w:val="31"/>
          <w:lang w:val="en-US" w:eastAsia="zh-CN" w:bidi="ar"/>
        </w:rPr>
      </w:pPr>
      <w:r>
        <w:rPr>
          <w:sz w:val="31"/>
        </w:rP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384810</wp:posOffset>
                </wp:positionV>
                <wp:extent cx="5267325" cy="9525"/>
                <wp:effectExtent l="0" t="0" r="0" b="0"/>
                <wp:wrapNone/>
                <wp:docPr id="1" name="直接连接符 1"/>
                <wp:cNvGraphicFramePr/>
                <a:graphic xmlns:a="http://schemas.openxmlformats.org/drawingml/2006/main">
                  <a:graphicData uri="http://schemas.microsoft.com/office/word/2010/wordprocessingShape">
                    <wps:wsp>
                      <wps:cNvCnPr/>
                      <wps:spPr>
                        <a:xfrm flipV="1">
                          <a:off x="875030" y="3478530"/>
                          <a:ext cx="5267325" cy="9525"/>
                        </a:xfrm>
                        <a:prstGeom prst="line">
                          <a:avLst/>
                        </a:prstGeom>
                        <a:noFill/>
                        <a:ln w="19050"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flip:y;margin-left:1.4pt;margin-top:30.3pt;height:0.75pt;width:414.75pt;z-index:251659264;mso-width-relative:page;mso-height-relative:page;" filled="f" stroked="t" coordsize="21600,21600" o:gfxdata="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">
                <v:fill on="f" focussize="0,0"/>
                <v:stroke weight="1.5pt" color="#FF0000" miterlimit="8" joinstyle="miter"/>
                <v:imagedata o:title=""/>
                <o:lock v:ext="edit" aspectratio="f"/>
              </v:line>
            </w:pict>
          </mc:Fallback>
        </mc:AlternateContent>
      </w:r>
      <w:r>
        <w:rPr>
          <w:rFonts w:hint="eastAsia" w:ascii="仿宋_GB2312" w:hAnsi="仿宋_GB2312" w:eastAsia="仿宋_GB2312" w:cs="仿宋_GB2312"/>
          <w:color w:val="000000"/>
          <w:kern w:val="0"/>
          <w:sz w:val="31"/>
          <w:szCs w:val="31"/>
          <w:lang w:val="en-US" w:eastAsia="zh-CN" w:bidi="ar"/>
        </w:rPr>
        <w:t>台州市黄岩区知识产权保护中心         2026年6月30日</w:t>
      </w:r>
      <w:r>
        <w:rPr>
          <w:rFonts w:hint="default" w:ascii="FangSong" w:hAnsi="FangSong" w:eastAsia="FangSong" w:cs="FangSong"/>
          <w:color w:val="000000"/>
          <w:kern w:val="0"/>
          <w:sz w:val="31"/>
          <w:szCs w:val="31"/>
          <w:lang w:val="en-US" w:eastAsia="zh-CN" w:bidi="ar"/>
        </w:rPr>
        <w:t xml:space="preserve"> </w:t>
      </w:r>
    </w:p>
    <w:p>
      <w:pPr>
        <w:keepNext w:val="0"/>
        <w:keepLines w:val="0"/>
        <w:widowControl/>
        <w:suppressLineNumbers w:val="0"/>
        <w:jc w:val="center"/>
      </w:pPr>
      <w:r>
        <w:rPr>
          <w:rFonts w:hint="eastAsia" w:ascii="FZXiaoBiaoSong-B05S" w:hAnsi="FZXiaoBiaoSong-B05S" w:eastAsia="FZXiaoBiaoSong-B05S" w:cs="FZXiaoBiaoSong-B05S"/>
          <w:color w:val="000000"/>
          <w:kern w:val="0"/>
          <w:sz w:val="43"/>
          <w:szCs w:val="43"/>
          <w:lang w:val="en-US" w:eastAsia="zh-CN" w:bidi="ar"/>
        </w:rPr>
        <w:t>目 录</w:t>
      </w:r>
    </w:p>
    <w:p>
      <w:pPr>
        <w:keepNext w:val="0"/>
        <w:keepLines w:val="0"/>
        <w:widowControl/>
        <w:numPr>
          <w:ilvl w:val="0"/>
          <w:numId w:val="1"/>
        </w:numPr>
        <w:suppressLineNumbers w:val="0"/>
        <w:ind w:left="0" w:leftChars="0" w:firstLine="0" w:firstLineChars="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工作数据概况</w:t>
      </w:r>
    </w:p>
    <w:p>
      <w:pPr>
        <w:keepNext w:val="0"/>
        <w:keepLines w:val="0"/>
        <w:widowControl/>
        <w:numPr>
          <w:ilvl w:val="0"/>
          <w:numId w:val="0"/>
        </w:numPr>
        <w:suppressLineNumbers w:val="0"/>
        <w:ind w:leftChars="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-预审服务</w:t>
      </w:r>
    </w:p>
    <w:p>
      <w:pPr>
        <w:keepNext w:val="0"/>
        <w:keepLines w:val="0"/>
        <w:widowControl/>
        <w:numPr>
          <w:ilvl w:val="0"/>
          <w:numId w:val="0"/>
        </w:numPr>
        <w:suppressLineNumbers w:val="0"/>
        <w:ind w:leftChars="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-维权保护</w:t>
      </w:r>
    </w:p>
    <w:p>
      <w:pPr>
        <w:keepNext w:val="0"/>
        <w:keepLines w:val="0"/>
        <w:widowControl/>
        <w:numPr>
          <w:ilvl w:val="0"/>
          <w:numId w:val="0"/>
        </w:numPr>
        <w:suppressLineNumbers w:val="0"/>
        <w:ind w:leftChars="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-公共服务</w:t>
      </w:r>
    </w:p>
    <w:p>
      <w:pPr>
        <w:keepNext w:val="0"/>
        <w:keepLines w:val="0"/>
        <w:widowControl/>
        <w:numPr>
          <w:ilvl w:val="0"/>
          <w:numId w:val="1"/>
        </w:numPr>
        <w:suppressLineNumbers w:val="0"/>
        <w:ind w:left="0" w:leftChars="0" w:firstLine="0" w:firstLineChars="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热点聚焦</w:t>
      </w:r>
    </w:p>
    <w:p>
      <w:pPr>
        <w:keepNext w:val="0"/>
        <w:keepLines w:val="0"/>
        <w:widowControl/>
        <w:numPr>
          <w:ilvl w:val="0"/>
          <w:numId w:val="0"/>
        </w:numPr>
        <w:suppressLineNumbers w:val="0"/>
        <w:ind w:leftChars="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-国内政策</w:t>
      </w:r>
    </w:p>
    <w:p>
      <w:pPr>
        <w:keepNext w:val="0"/>
        <w:keepLines w:val="0"/>
        <w:widowControl/>
        <w:numPr>
          <w:ilvl w:val="0"/>
          <w:numId w:val="0"/>
        </w:numPr>
        <w:suppressLineNumbers w:val="0"/>
        <w:ind w:leftChars="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-黄岩动态</w:t>
      </w:r>
    </w:p>
    <w:p>
      <w:pPr>
        <w:keepNext w:val="0"/>
        <w:keepLines w:val="0"/>
        <w:widowControl/>
        <w:numPr>
          <w:ilvl w:val="0"/>
          <w:numId w:val="0"/>
        </w:numPr>
        <w:suppressLineNumbers w:val="0"/>
        <w:ind w:leftChars="0"/>
        <w:jc w:val="left"/>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-要闻速览</w:t>
      </w:r>
    </w:p>
    <w:p>
      <w:pPr>
        <w:keepNext w:val="0"/>
        <w:keepLines w:val="0"/>
        <w:widowControl/>
        <w:numPr>
          <w:ilvl w:val="0"/>
          <w:numId w:val="1"/>
        </w:numPr>
        <w:suppressLineNumbers w:val="0"/>
        <w:ind w:left="0" w:leftChars="0" w:firstLine="0" w:firstLineChars="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典型案例专栏</w:t>
      </w:r>
    </w:p>
    <w:p>
      <w:pPr>
        <w:keepNext w:val="0"/>
        <w:keepLines w:val="0"/>
        <w:widowControl/>
        <w:numPr>
          <w:ilvl w:val="0"/>
          <w:numId w:val="0"/>
        </w:numPr>
        <w:suppressLineNumbers w:val="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-黄岩快维中心“四方联调”</w:t>
      </w:r>
      <w:r>
        <w:rPr>
          <w:rFonts w:hint="default" w:ascii="仿宋_GB2312" w:hAnsi="仿宋_GB2312" w:eastAsia="仿宋_GB2312" w:cs="仿宋_GB2312"/>
          <w:color w:val="000000"/>
          <w:kern w:val="0"/>
          <w:sz w:val="31"/>
          <w:szCs w:val="31"/>
          <w:lang w:eastAsia="zh-CN" w:bidi="ar"/>
        </w:rPr>
        <w:t>化</w:t>
      </w:r>
      <w:r>
        <w:rPr>
          <w:rFonts w:hint="eastAsia" w:ascii="仿宋_GB2312" w:hAnsi="仿宋_GB2312" w:eastAsia="仿宋_GB2312" w:cs="仿宋_GB2312"/>
          <w:color w:val="000000"/>
          <w:kern w:val="0"/>
          <w:sz w:val="31"/>
          <w:szCs w:val="31"/>
          <w:lang w:val="en-US" w:eastAsia="zh-CN" w:bidi="ar"/>
        </w:rPr>
        <w:t>解海外知名商标侵权案</w:t>
      </w:r>
    </w:p>
    <w:p>
      <w:pPr>
        <w:keepNext w:val="0"/>
        <w:keepLines w:val="0"/>
        <w:widowControl/>
        <w:numPr>
          <w:ilvl w:val="0"/>
          <w:numId w:val="0"/>
        </w:numPr>
        <w:suppressLineNumbers w:val="0"/>
        <w:jc w:val="lef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-黄岩快维中心“调解促和、购转授权”化解专利侵权纠纷</w:t>
      </w:r>
    </w:p>
    <w:p>
      <w:pPr>
        <w:keepNext w:val="0"/>
        <w:keepLines w:val="0"/>
        <w:widowControl/>
        <w:numPr>
          <w:ilvl w:val="0"/>
          <w:numId w:val="0"/>
        </w:numPr>
        <w:suppressLineNumbers w:val="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四、经验做法分享</w:t>
      </w:r>
    </w:p>
    <w:p>
      <w:pPr>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-构建多维度分级分类体系，激发企业创新活力</w:t>
      </w:r>
    </w:p>
    <w:p>
      <w:pPr>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-黄岩快维中心开展“AI智算”领域专项服务</w:t>
      </w:r>
    </w:p>
    <w:p>
      <w:pPr>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-黄岩快维中心推动数据知识产权转化运用 赋能塑料制品产业发展</w:t>
      </w:r>
    </w:p>
    <w:p>
      <w:pPr>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-黄岩快维中心“法院委派—中心调解—司法确认”全链路模式助企高效维权</w:t>
      </w:r>
    </w:p>
    <w:p>
      <w:pPr>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-黄岩快维中心打造“三个联盟”推动塑料制品产业发展</w:t>
      </w:r>
    </w:p>
    <w:p>
      <w:pPr>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-黄岩快维中心以“三个平台”打造全链条产业服务</w:t>
      </w:r>
    </w:p>
    <w:p>
      <w:pPr>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br w:type="page"/>
      </w:r>
    </w:p>
    <w:p>
      <w:pPr>
        <w:keepNext w:val="0"/>
        <w:keepLines w:val="0"/>
        <w:widowControl/>
        <w:numPr>
          <w:ilvl w:val="0"/>
          <w:numId w:val="2"/>
        </w:numPr>
        <w:suppressLineNumbers w:val="0"/>
        <w:ind w:leftChars="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工作数据概况</w:t>
      </w:r>
    </w:p>
    <w:p>
      <w:pPr>
        <w:keepNext w:val="0"/>
        <w:keepLines w:val="0"/>
        <w:widowControl/>
        <w:suppressLineNumbers w:val="0"/>
        <w:jc w:val="both"/>
        <w:rPr>
          <w:rFonts w:hint="eastAsia" w:ascii="仿宋_GB2312" w:hAnsi="仿宋_GB2312" w:eastAsia="仿宋_GB2312" w:cs="仿宋_GB2312"/>
          <w:b/>
          <w:bCs/>
          <w:color w:val="auto"/>
          <w:kern w:val="0"/>
          <w:sz w:val="31"/>
          <w:szCs w:val="31"/>
          <w:lang w:val="en-US" w:eastAsia="zh-CN" w:bidi="ar"/>
        </w:rPr>
      </w:pPr>
      <w:r>
        <w:rPr>
          <w:rFonts w:hint="eastAsia" w:ascii="仿宋_GB2312" w:hAnsi="仿宋_GB2312" w:eastAsia="仿宋_GB2312" w:cs="仿宋_GB2312"/>
          <w:b/>
          <w:bCs/>
          <w:color w:val="auto"/>
          <w:kern w:val="0"/>
          <w:sz w:val="31"/>
          <w:szCs w:val="31"/>
          <w:lang w:val="en-US" w:eastAsia="zh-CN" w:bidi="ar"/>
        </w:rPr>
        <w:t>-预审服务</w:t>
      </w:r>
    </w:p>
    <w:p>
      <w:pPr>
        <w:keepNext w:val="0"/>
        <w:keepLines w:val="0"/>
        <w:widowControl/>
        <w:suppressLineNumbers w:val="0"/>
        <w:ind w:firstLine="620"/>
        <w:jc w:val="center"/>
        <w:rPr>
          <w:rFonts w:hint="default" w:ascii="黑体" w:hAnsi="宋体" w:eastAsia="黑体" w:cs="黑体"/>
          <w:color w:val="auto"/>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台州黄岩（塑料制品）知识产权快速维权中心2026上半</w:t>
      </w:r>
      <w:r>
        <w:rPr>
          <w:rFonts w:hint="eastAsia" w:ascii="FZXiaoBiaoSong-B05S" w:hAnsi="FZXiaoBiaoSong-B05S" w:eastAsia="FZXiaoBiaoSong-B05S" w:cs="FZXiaoBiaoSong-B05S"/>
          <w:color w:val="auto"/>
          <w:kern w:val="0"/>
          <w:sz w:val="31"/>
          <w:szCs w:val="31"/>
          <w:lang w:val="en-US" w:eastAsia="zh-CN" w:bidi="ar"/>
        </w:rPr>
        <w:t>年预审服务概况</w:t>
      </w:r>
    </w:p>
    <w:tbl>
      <w:tblPr>
        <w:tblStyle w:val="4"/>
        <w:tblW w:w="10065" w:type="dxa"/>
        <w:tblInd w:w="-6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0"/>
        <w:gridCol w:w="2415"/>
        <w:gridCol w:w="5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tcPr>
          <w:p>
            <w:pPr>
              <w:keepNext w:val="0"/>
              <w:keepLines w:val="0"/>
              <w:widowControl/>
              <w:suppressLineNumbers w:val="0"/>
              <w:jc w:val="center"/>
              <w:rPr>
                <w:rFonts w:hint="default" w:ascii="FZXiaoBiaoSong-B05S" w:hAnsi="FZXiaoBiaoSong-B05S" w:eastAsia="FZXiaoBiaoSong-B05S" w:cs="FZXiaoBiaoSong-B05S"/>
                <w:color w:val="auto"/>
                <w:kern w:val="0"/>
                <w:sz w:val="31"/>
                <w:szCs w:val="31"/>
                <w:vertAlign w:val="baseline"/>
                <w:lang w:val="en-US" w:eastAsia="zh-CN" w:bidi="ar"/>
              </w:rPr>
            </w:pPr>
            <w:r>
              <w:rPr>
                <w:rFonts w:hint="eastAsia" w:ascii="FZXiaoBiaoSong-B05S" w:hAnsi="FZXiaoBiaoSong-B05S" w:eastAsia="FZXiaoBiaoSong-B05S" w:cs="FZXiaoBiaoSong-B05S"/>
                <w:color w:val="auto"/>
                <w:kern w:val="0"/>
                <w:sz w:val="31"/>
                <w:szCs w:val="31"/>
                <w:vertAlign w:val="baseline"/>
                <w:lang w:val="en-US" w:eastAsia="zh-CN" w:bidi="ar"/>
              </w:rPr>
              <w:t>业务模块</w:t>
            </w:r>
          </w:p>
        </w:tc>
        <w:tc>
          <w:tcPr>
            <w:tcW w:w="2415" w:type="dxa"/>
          </w:tcPr>
          <w:p>
            <w:pPr>
              <w:keepNext w:val="0"/>
              <w:keepLines w:val="0"/>
              <w:widowControl/>
              <w:suppressLineNumbers w:val="0"/>
              <w:jc w:val="center"/>
              <w:rPr>
                <w:rFonts w:hint="default" w:ascii="FZXiaoBiaoSong-B05S" w:hAnsi="FZXiaoBiaoSong-B05S" w:eastAsia="FZXiaoBiaoSong-B05S" w:cs="FZXiaoBiaoSong-B05S"/>
                <w:color w:val="auto"/>
                <w:kern w:val="0"/>
                <w:sz w:val="31"/>
                <w:szCs w:val="31"/>
                <w:vertAlign w:val="baseline"/>
                <w:lang w:val="en-US" w:eastAsia="zh-CN" w:bidi="ar"/>
              </w:rPr>
            </w:pPr>
            <w:r>
              <w:rPr>
                <w:rFonts w:hint="eastAsia" w:ascii="FZXiaoBiaoSong-B05S" w:hAnsi="FZXiaoBiaoSong-B05S" w:eastAsia="FZXiaoBiaoSong-B05S" w:cs="FZXiaoBiaoSong-B05S"/>
                <w:color w:val="auto"/>
                <w:kern w:val="0"/>
                <w:sz w:val="31"/>
                <w:szCs w:val="31"/>
                <w:vertAlign w:val="baseline"/>
                <w:lang w:val="en-US" w:eastAsia="zh-CN" w:bidi="ar"/>
              </w:rPr>
              <w:t>关键指标</w:t>
            </w:r>
          </w:p>
        </w:tc>
        <w:tc>
          <w:tcPr>
            <w:tcW w:w="5640" w:type="dxa"/>
          </w:tcPr>
          <w:p>
            <w:pPr>
              <w:keepNext w:val="0"/>
              <w:keepLines w:val="0"/>
              <w:widowControl/>
              <w:suppressLineNumbers w:val="0"/>
              <w:jc w:val="center"/>
              <w:rPr>
                <w:rFonts w:hint="default" w:ascii="FZXiaoBiaoSong-B05S" w:hAnsi="FZXiaoBiaoSong-B05S" w:eastAsia="FZXiaoBiaoSong-B05S" w:cs="FZXiaoBiaoSong-B05S"/>
                <w:color w:val="auto"/>
                <w:kern w:val="0"/>
                <w:sz w:val="31"/>
                <w:szCs w:val="31"/>
                <w:vertAlign w:val="baseline"/>
                <w:lang w:val="en-US" w:eastAsia="zh-CN" w:bidi="ar"/>
              </w:rPr>
            </w:pPr>
            <w:r>
              <w:rPr>
                <w:rFonts w:hint="eastAsia" w:ascii="FZXiaoBiaoSong-B05S" w:hAnsi="FZXiaoBiaoSong-B05S" w:eastAsia="FZXiaoBiaoSong-B05S" w:cs="FZXiaoBiaoSong-B05S"/>
                <w:color w:val="auto"/>
                <w:kern w:val="0"/>
                <w:sz w:val="31"/>
                <w:szCs w:val="31"/>
                <w:vertAlign w:val="baseline"/>
                <w:lang w:val="en-US" w:eastAsia="zh-CN" w:bidi="ar"/>
              </w:rPr>
              <w:t>当前数据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vMerge w:val="restart"/>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预审效能</w:t>
            </w:r>
          </w:p>
        </w:tc>
        <w:tc>
          <w:tcPr>
            <w:tcW w:w="2415" w:type="dxa"/>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平均授权周期</w:t>
            </w:r>
          </w:p>
        </w:tc>
        <w:tc>
          <w:tcPr>
            <w:tcW w:w="5640" w:type="dxa"/>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default" w:ascii="仿宋_GB2312" w:hAnsi="仿宋_GB2312" w:eastAsia="仿宋_GB2312" w:cs="仿宋_GB2312"/>
                <w:color w:val="auto"/>
                <w:kern w:val="0"/>
                <w:sz w:val="31"/>
                <w:szCs w:val="31"/>
                <w:lang w:eastAsia="zh-CN" w:bidi="ar"/>
              </w:rPr>
              <w:t>5</w:t>
            </w:r>
            <w:r>
              <w:rPr>
                <w:rFonts w:hint="eastAsia" w:ascii="仿宋_GB2312" w:hAnsi="仿宋_GB2312" w:eastAsia="仿宋_GB2312" w:cs="仿宋_GB2312"/>
                <w:color w:val="auto"/>
                <w:kern w:val="0"/>
                <w:sz w:val="31"/>
                <w:szCs w:val="31"/>
                <w:lang w:val="en-US" w:eastAsia="zh-CN" w:bidi="ar"/>
              </w:rPr>
              <w:t>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vMerge w:val="continue"/>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p>
        </w:tc>
        <w:tc>
          <w:tcPr>
            <w:tcW w:w="2415" w:type="dxa"/>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平均授权率</w:t>
            </w:r>
          </w:p>
        </w:tc>
        <w:tc>
          <w:tcPr>
            <w:tcW w:w="5640" w:type="dxa"/>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default" w:ascii="仿宋_GB2312" w:hAnsi="仿宋_GB2312" w:eastAsia="仿宋_GB2312" w:cs="仿宋_GB2312"/>
                <w:color w:val="auto"/>
                <w:kern w:val="0"/>
                <w:sz w:val="31"/>
                <w:szCs w:val="31"/>
                <w:lang w:eastAsia="zh-CN" w:bidi="ar"/>
              </w:rPr>
              <w:t>97.3</w:t>
            </w:r>
            <w:r>
              <w:rPr>
                <w:rFonts w:hint="eastAsia" w:ascii="仿宋_GB2312" w:hAnsi="仿宋_GB2312" w:eastAsia="仿宋_GB2312" w:cs="仿宋_GB2312"/>
                <w:color w:val="auto"/>
                <w:kern w:val="0"/>
                <w:sz w:val="31"/>
                <w:szCs w:val="3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vMerge w:val="restart"/>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业务规模</w:t>
            </w:r>
          </w:p>
        </w:tc>
        <w:tc>
          <w:tcPr>
            <w:tcW w:w="2415" w:type="dxa"/>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接收预审量</w:t>
            </w:r>
          </w:p>
        </w:tc>
        <w:tc>
          <w:tcPr>
            <w:tcW w:w="5640" w:type="dxa"/>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default" w:ascii="仿宋_GB2312" w:hAnsi="仿宋_GB2312" w:eastAsia="仿宋_GB2312" w:cs="仿宋_GB2312"/>
                <w:color w:val="auto"/>
                <w:kern w:val="0"/>
                <w:sz w:val="31"/>
                <w:szCs w:val="31"/>
                <w:lang w:eastAsia="zh-CN" w:bidi="ar"/>
              </w:rPr>
              <w:t>494</w:t>
            </w:r>
            <w:r>
              <w:rPr>
                <w:rFonts w:hint="eastAsia" w:ascii="仿宋_GB2312" w:hAnsi="仿宋_GB2312" w:eastAsia="仿宋_GB2312" w:cs="仿宋_GB2312"/>
                <w:color w:val="auto"/>
                <w:kern w:val="0"/>
                <w:sz w:val="31"/>
                <w:szCs w:val="31"/>
                <w:lang w:val="en-US" w:eastAsia="zh-CN" w:bidi="ar"/>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vMerge w:val="continue"/>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p>
        </w:tc>
        <w:tc>
          <w:tcPr>
            <w:tcW w:w="2415" w:type="dxa"/>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指导企业数</w:t>
            </w:r>
          </w:p>
        </w:tc>
        <w:tc>
          <w:tcPr>
            <w:tcW w:w="5640" w:type="dxa"/>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default" w:ascii="仿宋_GB2312" w:hAnsi="仿宋_GB2312" w:eastAsia="仿宋_GB2312" w:cs="仿宋_GB2312"/>
                <w:color w:val="auto"/>
                <w:kern w:val="0"/>
                <w:sz w:val="31"/>
                <w:szCs w:val="31"/>
                <w:lang w:eastAsia="zh-CN" w:bidi="ar"/>
              </w:rPr>
              <w:t>200</w:t>
            </w:r>
            <w:r>
              <w:rPr>
                <w:rFonts w:hint="eastAsia" w:ascii="仿宋_GB2312" w:hAnsi="仿宋_GB2312" w:eastAsia="仿宋_GB2312" w:cs="仿宋_GB2312"/>
                <w:color w:val="auto"/>
                <w:kern w:val="0"/>
                <w:sz w:val="31"/>
                <w:szCs w:val="31"/>
                <w:lang w:val="en-US" w:eastAsia="zh-CN" w:bidi="ar"/>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vMerge w:val="restart"/>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质量管理</w:t>
            </w:r>
          </w:p>
        </w:tc>
        <w:tc>
          <w:tcPr>
            <w:tcW w:w="2415" w:type="dxa"/>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主体/代理分级</w:t>
            </w:r>
          </w:p>
        </w:tc>
        <w:tc>
          <w:tcPr>
            <w:tcW w:w="5640" w:type="dxa"/>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A+级主体10家、A+级代理5家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0" w:type="dxa"/>
            <w:vMerge w:val="continue"/>
            <w:vAlign w:val="center"/>
          </w:tcPr>
          <w:p>
            <w:pPr>
              <w:keepNext w:val="0"/>
              <w:keepLines w:val="0"/>
              <w:widowControl/>
              <w:suppressLineNumbers w:val="0"/>
              <w:jc w:val="left"/>
              <w:rPr>
                <w:rFonts w:hint="default" w:ascii="仿宋_GB2312" w:hAnsi="仿宋_GB2312" w:eastAsia="仿宋_GB2312" w:cs="仿宋_GB2312"/>
                <w:color w:val="auto"/>
                <w:kern w:val="0"/>
                <w:sz w:val="31"/>
                <w:szCs w:val="31"/>
                <w:lang w:val="en-US" w:eastAsia="zh-CN" w:bidi="ar"/>
              </w:rPr>
            </w:pPr>
          </w:p>
        </w:tc>
        <w:tc>
          <w:tcPr>
            <w:tcW w:w="2415" w:type="dxa"/>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eastAsia" w:ascii="仿宋_GB2312" w:hAnsi="仿宋_GB2312" w:eastAsia="仿宋_GB2312" w:cs="仿宋_GB2312"/>
                <w:color w:val="auto"/>
                <w:kern w:val="0"/>
                <w:sz w:val="31"/>
                <w:szCs w:val="31"/>
                <w:lang w:val="en-US" w:eastAsia="zh-CN" w:bidi="ar"/>
              </w:rPr>
              <w:t>问题申请处理量</w:t>
            </w:r>
          </w:p>
        </w:tc>
        <w:tc>
          <w:tcPr>
            <w:tcW w:w="5640" w:type="dxa"/>
            <w:vAlign w:val="center"/>
          </w:tcPr>
          <w:p>
            <w:pPr>
              <w:keepNext w:val="0"/>
              <w:keepLines w:val="0"/>
              <w:widowControl/>
              <w:suppressLineNumbers w:val="0"/>
              <w:jc w:val="center"/>
              <w:rPr>
                <w:rFonts w:hint="default" w:ascii="仿宋_GB2312" w:hAnsi="仿宋_GB2312" w:eastAsia="仿宋_GB2312" w:cs="仿宋_GB2312"/>
                <w:color w:val="auto"/>
                <w:kern w:val="0"/>
                <w:sz w:val="31"/>
                <w:szCs w:val="31"/>
                <w:lang w:val="en-US" w:eastAsia="zh-CN" w:bidi="ar"/>
              </w:rPr>
            </w:pPr>
            <w:r>
              <w:rPr>
                <w:rFonts w:hint="default" w:ascii="仿宋_GB2312" w:hAnsi="仿宋_GB2312" w:eastAsia="仿宋_GB2312" w:cs="仿宋_GB2312"/>
                <w:color w:val="auto"/>
                <w:kern w:val="0"/>
                <w:sz w:val="31"/>
                <w:szCs w:val="31"/>
                <w:lang w:eastAsia="zh-CN" w:bidi="ar"/>
              </w:rPr>
              <w:t>企业撤回1</w:t>
            </w:r>
            <w:r>
              <w:rPr>
                <w:rFonts w:hint="default" w:ascii="仿宋_GB2312" w:hAnsi="仿宋_GB2312" w:eastAsia="仿宋_GB2312" w:cs="仿宋_GB2312"/>
                <w:color w:val="auto"/>
                <w:kern w:val="0"/>
                <w:sz w:val="31"/>
                <w:szCs w:val="31"/>
                <w:lang w:val="en-US" w:eastAsia="zh-CN" w:bidi="ar"/>
              </w:rPr>
              <w:t>件</w:t>
            </w:r>
            <w:r>
              <w:rPr>
                <w:rFonts w:hint="eastAsia" w:ascii="仿宋_GB2312" w:hAnsi="仿宋_GB2312" w:eastAsia="仿宋_GB2312" w:cs="仿宋_GB2312"/>
                <w:color w:val="auto"/>
                <w:kern w:val="0"/>
                <w:sz w:val="31"/>
                <w:szCs w:val="31"/>
                <w:lang w:val="en-US" w:eastAsia="zh-CN" w:bidi="ar"/>
              </w:rPr>
              <w:t>、</w:t>
            </w:r>
            <w:r>
              <w:rPr>
                <w:rFonts w:hint="default" w:ascii="仿宋_GB2312" w:hAnsi="仿宋_GB2312" w:eastAsia="仿宋_GB2312" w:cs="仿宋_GB2312"/>
                <w:color w:val="auto"/>
                <w:kern w:val="0"/>
                <w:sz w:val="31"/>
                <w:szCs w:val="31"/>
                <w:lang w:val="en-US" w:eastAsia="zh-CN" w:bidi="ar"/>
              </w:rPr>
              <w:t>系统驳回</w:t>
            </w:r>
            <w:r>
              <w:rPr>
                <w:rFonts w:hint="default" w:ascii="仿宋_GB2312" w:hAnsi="仿宋_GB2312" w:eastAsia="仿宋_GB2312" w:cs="仿宋_GB2312"/>
                <w:color w:val="auto"/>
                <w:kern w:val="0"/>
                <w:sz w:val="31"/>
                <w:szCs w:val="31"/>
                <w:lang w:eastAsia="zh-CN" w:bidi="ar"/>
              </w:rPr>
              <w:t>5</w:t>
            </w:r>
            <w:r>
              <w:rPr>
                <w:rFonts w:hint="default" w:ascii="仿宋_GB2312" w:hAnsi="仿宋_GB2312" w:eastAsia="仿宋_GB2312" w:cs="仿宋_GB2312"/>
                <w:color w:val="auto"/>
                <w:kern w:val="0"/>
                <w:sz w:val="31"/>
                <w:szCs w:val="31"/>
                <w:lang w:val="en-US" w:eastAsia="zh-CN" w:bidi="ar"/>
              </w:rPr>
              <w:t>件</w:t>
            </w:r>
          </w:p>
        </w:tc>
      </w:tr>
    </w:tbl>
    <w:p>
      <w:pPr>
        <w:keepNext w:val="0"/>
        <w:keepLines w:val="0"/>
        <w:widowControl/>
        <w:suppressLineNumbers w:val="0"/>
        <w:ind w:firstLine="620" w:firstLineChars="200"/>
        <w:jc w:val="both"/>
        <w:rPr>
          <w:rFonts w:hint="eastAsia" w:ascii="仿宋_GB2312" w:hAnsi="仿宋_GB2312" w:eastAsia="仿宋_GB2312" w:cs="仿宋_GB2312"/>
          <w:color w:val="auto"/>
          <w:kern w:val="0"/>
          <w:sz w:val="31"/>
          <w:szCs w:val="31"/>
          <w:lang w:val="en-US" w:eastAsia="zh-CN" w:bidi="ar"/>
        </w:rPr>
      </w:pPr>
      <w:r>
        <w:rPr>
          <w:rFonts w:hint="default" w:ascii="仿宋_GB2312" w:hAnsi="仿宋_GB2312" w:eastAsia="仿宋_GB2312" w:cs="仿宋_GB2312"/>
          <w:color w:val="auto"/>
          <w:kern w:val="0"/>
          <w:sz w:val="31"/>
          <w:szCs w:val="31"/>
          <w:lang w:val="en-US" w:eastAsia="zh-CN" w:bidi="ar"/>
        </w:rPr>
        <w:t>中心以专利快速预审为核心业务，在巩固2025年度工作成果的基础上，持续优化预审服务流程与质量管理体系，着力提升预审效能与服务质量</w:t>
      </w:r>
      <w:r>
        <w:rPr>
          <w:rFonts w:hint="eastAsia" w:ascii="仿宋_GB2312" w:hAnsi="仿宋_GB2312" w:eastAsia="仿宋_GB2312" w:cs="仿宋_GB2312"/>
          <w:color w:val="auto"/>
          <w:kern w:val="0"/>
          <w:sz w:val="31"/>
          <w:szCs w:val="31"/>
          <w:lang w:val="en-US" w:eastAsia="zh-CN" w:bidi="ar"/>
        </w:rPr>
        <w:t>。</w:t>
      </w:r>
    </w:p>
    <w:p>
      <w:pPr>
        <w:keepNext w:val="0"/>
        <w:keepLines w:val="0"/>
        <w:widowControl/>
        <w:suppressLineNumbers w:val="0"/>
        <w:ind w:firstLine="622" w:firstLineChars="200"/>
        <w:jc w:val="both"/>
        <w:rPr>
          <w:rFonts w:hint="eastAsia" w:ascii="仿宋_GB2312" w:hAnsi="仿宋_GB2312" w:eastAsia="仿宋_GB2312" w:cs="仿宋_GB2312"/>
          <w:b w:val="0"/>
          <w:bCs w:val="0"/>
          <w:color w:val="auto"/>
          <w:kern w:val="0"/>
          <w:sz w:val="31"/>
          <w:szCs w:val="31"/>
          <w:lang w:val="en-US" w:eastAsia="zh-CN" w:bidi="ar"/>
        </w:rPr>
      </w:pPr>
      <w:r>
        <w:rPr>
          <w:rFonts w:hint="eastAsia" w:ascii="仿宋_GB2312" w:hAnsi="仿宋_GB2312" w:eastAsia="仿宋_GB2312" w:cs="仿宋_GB2312"/>
          <w:b/>
          <w:bCs/>
          <w:color w:val="auto"/>
          <w:kern w:val="0"/>
          <w:sz w:val="31"/>
          <w:szCs w:val="31"/>
          <w:lang w:val="en-US" w:eastAsia="zh-CN" w:bidi="ar"/>
        </w:rPr>
        <w:t>一是持续健全制度体系。</w:t>
      </w:r>
      <w:r>
        <w:rPr>
          <w:rFonts w:hint="eastAsia" w:ascii="仿宋_GB2312" w:hAnsi="仿宋_GB2312" w:eastAsia="仿宋_GB2312" w:cs="仿宋_GB2312"/>
          <w:b w:val="0"/>
          <w:bCs w:val="0"/>
          <w:color w:val="auto"/>
          <w:kern w:val="0"/>
          <w:sz w:val="31"/>
          <w:szCs w:val="31"/>
          <w:lang w:val="en-US" w:eastAsia="zh-CN" w:bidi="ar"/>
        </w:rPr>
        <w:t>在2025年度分级分类管理基础上，2月4日举办备案主体、代理机构交流会暨分级分类颁奖仪式，表彰10家A+级备案主体和5家A+级代理机构，解读2026年专利审查指南修改要点，宣贯知识产权保险政策。</w:t>
      </w:r>
    </w:p>
    <w:p>
      <w:pPr>
        <w:keepNext w:val="0"/>
        <w:keepLines w:val="0"/>
        <w:widowControl/>
        <w:suppressLineNumbers w:val="0"/>
        <w:ind w:firstLine="622" w:firstLineChars="200"/>
        <w:jc w:val="both"/>
        <w:rPr>
          <w:rFonts w:hint="eastAsia" w:ascii="仿宋_GB2312" w:hAnsi="仿宋_GB2312" w:eastAsia="仿宋_GB2312" w:cs="仿宋_GB2312"/>
          <w:b w:val="0"/>
          <w:bCs w:val="0"/>
          <w:color w:val="auto"/>
          <w:kern w:val="0"/>
          <w:sz w:val="31"/>
          <w:szCs w:val="31"/>
          <w:lang w:val="en-US" w:eastAsia="zh-CN" w:bidi="ar"/>
        </w:rPr>
      </w:pPr>
      <w:r>
        <w:rPr>
          <w:rFonts w:hint="eastAsia" w:ascii="仿宋_GB2312" w:hAnsi="仿宋_GB2312" w:eastAsia="仿宋_GB2312" w:cs="仿宋_GB2312"/>
          <w:b/>
          <w:bCs/>
          <w:color w:val="auto"/>
          <w:kern w:val="0"/>
          <w:sz w:val="31"/>
          <w:szCs w:val="31"/>
          <w:lang w:val="en-US" w:eastAsia="zh-CN" w:bidi="ar"/>
        </w:rPr>
        <w:t>二是持续加强质量管理。</w:t>
      </w:r>
      <w:r>
        <w:rPr>
          <w:rFonts w:hint="eastAsia" w:ascii="仿宋_GB2312" w:hAnsi="仿宋_GB2312" w:eastAsia="仿宋_GB2312" w:cs="仿宋_GB2312"/>
          <w:b w:val="0"/>
          <w:bCs w:val="0"/>
          <w:color w:val="auto"/>
          <w:kern w:val="0"/>
          <w:sz w:val="31"/>
          <w:szCs w:val="31"/>
          <w:lang w:val="en-US" w:eastAsia="zh-CN" w:bidi="ar"/>
        </w:rPr>
        <w:t>严格执行预审质量管控流程，通过预沟通机制提前发现并修正问题申请，依托智能检索系统从源头把关申请质量。特邀保险公司相关负责人就知识产权保险政策进行系统宣贯。</w:t>
      </w:r>
    </w:p>
    <w:p>
      <w:pPr>
        <w:keepNext w:val="0"/>
        <w:keepLines w:val="0"/>
        <w:widowControl/>
        <w:suppressLineNumbers w:val="0"/>
        <w:ind w:firstLine="622" w:firstLineChars="200"/>
        <w:jc w:val="both"/>
        <w:rPr>
          <w:rFonts w:hint="eastAsia" w:ascii="仿宋_GB2312" w:hAnsi="仿宋_GB2312" w:eastAsia="仿宋_GB2312" w:cs="仿宋_GB2312"/>
          <w:b w:val="0"/>
          <w:bCs w:val="0"/>
          <w:color w:val="auto"/>
          <w:kern w:val="0"/>
          <w:sz w:val="31"/>
          <w:szCs w:val="31"/>
          <w:lang w:val="en-US" w:eastAsia="zh-CN" w:bidi="ar"/>
        </w:rPr>
      </w:pPr>
      <w:r>
        <w:rPr>
          <w:rFonts w:hint="eastAsia" w:ascii="仿宋_GB2312" w:hAnsi="仿宋_GB2312" w:eastAsia="仿宋_GB2312" w:cs="仿宋_GB2312"/>
          <w:b/>
          <w:bCs/>
          <w:color w:val="auto"/>
          <w:kern w:val="0"/>
          <w:sz w:val="31"/>
          <w:szCs w:val="31"/>
          <w:lang w:val="en-US" w:eastAsia="zh-CN" w:bidi="ar"/>
        </w:rPr>
        <w:t>三是持续提升预审效能。</w:t>
      </w:r>
      <w:r>
        <w:rPr>
          <w:rFonts w:hint="default" w:ascii="仿宋_GB2312" w:hAnsi="仿宋_GB2312" w:eastAsia="仿宋_GB2312" w:cs="仿宋_GB2312"/>
          <w:b w:val="0"/>
          <w:bCs w:val="0"/>
          <w:color w:val="auto"/>
          <w:kern w:val="0"/>
          <w:sz w:val="31"/>
          <w:szCs w:val="31"/>
          <w:lang w:val="en-US" w:eastAsia="zh-CN" w:bidi="ar"/>
        </w:rPr>
        <w:t>2025年度完成专利预审授权1037件，授权率</w:t>
      </w:r>
      <w:r>
        <w:rPr>
          <w:rFonts w:hint="default" w:ascii="仿宋_GB2312" w:hAnsi="仿宋_GB2312" w:eastAsia="仿宋_GB2312" w:cs="仿宋_GB2312"/>
          <w:b w:val="0"/>
          <w:bCs w:val="0"/>
          <w:color w:val="auto"/>
          <w:kern w:val="0"/>
          <w:sz w:val="31"/>
          <w:szCs w:val="31"/>
          <w:lang w:eastAsia="zh-CN" w:bidi="ar"/>
        </w:rPr>
        <w:t>99</w:t>
      </w:r>
      <w:r>
        <w:rPr>
          <w:rFonts w:hint="default" w:ascii="仿宋_GB2312" w:hAnsi="仿宋_GB2312" w:eastAsia="仿宋_GB2312" w:cs="仿宋_GB2312"/>
          <w:b w:val="0"/>
          <w:bCs w:val="0"/>
          <w:color w:val="auto"/>
          <w:kern w:val="0"/>
          <w:sz w:val="31"/>
          <w:szCs w:val="31"/>
          <w:lang w:val="en-US" w:eastAsia="zh-CN" w:bidi="ar"/>
        </w:rPr>
        <w:t>%，授权量位居全国第五。</w:t>
      </w:r>
      <w:r>
        <w:rPr>
          <w:rFonts w:hint="eastAsia" w:ascii="仿宋_GB2312" w:hAnsi="仿宋_GB2312" w:eastAsia="仿宋_GB2312" w:cs="仿宋_GB2312"/>
          <w:b w:val="0"/>
          <w:bCs w:val="0"/>
          <w:color w:val="auto"/>
          <w:kern w:val="0"/>
          <w:sz w:val="31"/>
          <w:szCs w:val="31"/>
          <w:lang w:val="en-US" w:eastAsia="zh-CN" w:bidi="ar"/>
        </w:rPr>
        <w:t>截至2026年6月，</w:t>
      </w:r>
      <w:r>
        <w:rPr>
          <w:rFonts w:hint="default" w:ascii="仿宋_GB2312" w:hAnsi="仿宋_GB2312" w:eastAsia="仿宋_GB2312" w:cs="仿宋_GB2312"/>
          <w:b w:val="0"/>
          <w:bCs w:val="0"/>
          <w:color w:val="auto"/>
          <w:kern w:val="0"/>
          <w:sz w:val="31"/>
          <w:szCs w:val="31"/>
          <w:lang w:val="en-US" w:eastAsia="zh-CN" w:bidi="ar"/>
        </w:rPr>
        <w:t>受理预审申请</w:t>
      </w:r>
      <w:r>
        <w:rPr>
          <w:rFonts w:hint="default" w:ascii="仿宋_GB2312" w:hAnsi="仿宋_GB2312" w:eastAsia="仿宋_GB2312" w:cs="仿宋_GB2312"/>
          <w:b w:val="0"/>
          <w:bCs w:val="0"/>
          <w:color w:val="auto"/>
          <w:kern w:val="0"/>
          <w:sz w:val="31"/>
          <w:szCs w:val="31"/>
          <w:lang w:eastAsia="zh-CN" w:bidi="ar"/>
        </w:rPr>
        <w:t>2006</w:t>
      </w:r>
      <w:r>
        <w:rPr>
          <w:rFonts w:hint="default" w:ascii="仿宋_GB2312" w:hAnsi="仿宋_GB2312" w:eastAsia="仿宋_GB2312" w:cs="仿宋_GB2312"/>
          <w:b w:val="0"/>
          <w:bCs w:val="0"/>
          <w:color w:val="auto"/>
          <w:kern w:val="0"/>
          <w:sz w:val="31"/>
          <w:szCs w:val="31"/>
          <w:lang w:val="en-US" w:eastAsia="zh-CN" w:bidi="ar"/>
        </w:rPr>
        <w:t>件，外观设计授权周期压缩至平均</w:t>
      </w:r>
      <w:r>
        <w:rPr>
          <w:rFonts w:hint="default" w:ascii="仿宋_GB2312" w:hAnsi="仿宋_GB2312" w:eastAsia="仿宋_GB2312" w:cs="仿宋_GB2312"/>
          <w:b w:val="0"/>
          <w:bCs w:val="0"/>
          <w:color w:val="auto"/>
          <w:kern w:val="0"/>
          <w:sz w:val="31"/>
          <w:szCs w:val="31"/>
          <w:lang w:eastAsia="zh-CN" w:bidi="ar"/>
        </w:rPr>
        <w:t>5</w:t>
      </w:r>
      <w:r>
        <w:rPr>
          <w:rFonts w:hint="default" w:ascii="仿宋_GB2312" w:hAnsi="仿宋_GB2312" w:eastAsia="仿宋_GB2312" w:cs="仿宋_GB2312"/>
          <w:b w:val="0"/>
          <w:bCs w:val="0"/>
          <w:color w:val="auto"/>
          <w:kern w:val="0"/>
          <w:sz w:val="31"/>
          <w:szCs w:val="31"/>
          <w:lang w:val="en-US" w:eastAsia="zh-CN" w:bidi="ar"/>
        </w:rPr>
        <w:t>个工作日以内，最快</w:t>
      </w:r>
      <w:r>
        <w:rPr>
          <w:rFonts w:hint="default" w:ascii="仿宋_GB2312" w:hAnsi="仿宋_GB2312" w:eastAsia="仿宋_GB2312" w:cs="仿宋_GB2312"/>
          <w:b w:val="0"/>
          <w:bCs w:val="0"/>
          <w:color w:val="auto"/>
          <w:kern w:val="0"/>
          <w:sz w:val="31"/>
          <w:szCs w:val="31"/>
          <w:lang w:eastAsia="zh-CN" w:bidi="ar"/>
        </w:rPr>
        <w:t>2</w:t>
      </w:r>
      <w:r>
        <w:rPr>
          <w:rFonts w:hint="default" w:ascii="仿宋_GB2312" w:hAnsi="仿宋_GB2312" w:eastAsia="仿宋_GB2312" w:cs="仿宋_GB2312"/>
          <w:b w:val="0"/>
          <w:bCs w:val="0"/>
          <w:color w:val="auto"/>
          <w:kern w:val="0"/>
          <w:sz w:val="31"/>
          <w:szCs w:val="31"/>
          <w:lang w:val="en-US" w:eastAsia="zh-CN" w:bidi="ar"/>
        </w:rPr>
        <w:t>个工作日，累计服务备案企业</w:t>
      </w:r>
      <w:r>
        <w:rPr>
          <w:rFonts w:hint="default" w:ascii="仿宋_GB2312" w:hAnsi="仿宋_GB2312" w:eastAsia="仿宋_GB2312" w:cs="仿宋_GB2312"/>
          <w:b w:val="0"/>
          <w:bCs w:val="0"/>
          <w:color w:val="auto"/>
          <w:kern w:val="0"/>
          <w:sz w:val="31"/>
          <w:szCs w:val="31"/>
          <w:lang w:eastAsia="zh-CN" w:bidi="ar"/>
        </w:rPr>
        <w:t>295</w:t>
      </w:r>
      <w:r>
        <w:rPr>
          <w:rFonts w:hint="default" w:ascii="仿宋_GB2312" w:hAnsi="仿宋_GB2312" w:eastAsia="仿宋_GB2312" w:cs="仿宋_GB2312"/>
          <w:b w:val="0"/>
          <w:bCs w:val="0"/>
          <w:color w:val="auto"/>
          <w:kern w:val="0"/>
          <w:sz w:val="31"/>
          <w:szCs w:val="31"/>
          <w:lang w:val="en-US" w:eastAsia="zh-CN" w:bidi="ar"/>
        </w:rPr>
        <w:t>家。深化数字化平台应用，6月4日联合“宁智汇”平台上线“知识产权”菜单，覆盖专利预审、申请代理、数据知识产权登记等全生命周期服务。</w:t>
      </w:r>
    </w:p>
    <w:p>
      <w:pPr>
        <w:keepNext w:val="0"/>
        <w:keepLines w:val="0"/>
        <w:widowControl/>
        <w:numPr>
          <w:ilvl w:val="0"/>
          <w:numId w:val="0"/>
        </w:numPr>
        <w:suppressLineNumbers w:val="0"/>
        <w:ind w:leftChars="0"/>
        <w:jc w:val="left"/>
        <w:rPr>
          <w:rFonts w:hint="eastAsia" w:ascii="仿宋_GB2312" w:hAnsi="仿宋_GB2312" w:eastAsia="仿宋_GB2312" w:cs="仿宋_GB2312"/>
          <w:color w:val="000000"/>
          <w:kern w:val="0"/>
          <w:sz w:val="31"/>
          <w:szCs w:val="31"/>
          <w:lang w:val="en-US" w:eastAsia="zh-CN" w:bidi="ar"/>
        </w:rPr>
      </w:pPr>
    </w:p>
    <w:p>
      <w:pPr>
        <w:keepNext w:val="0"/>
        <w:keepLines w:val="0"/>
        <w:widowControl/>
        <w:suppressLineNumbers w:val="0"/>
        <w:jc w:val="both"/>
        <w:rPr>
          <w:rFonts w:hint="eastAsia" w:ascii="仿宋_GB2312" w:hAnsi="仿宋_GB2312" w:eastAsia="仿宋_GB2312" w:cs="仿宋_GB2312"/>
          <w:b/>
          <w:bCs/>
          <w:color w:val="auto"/>
          <w:kern w:val="0"/>
          <w:sz w:val="31"/>
          <w:szCs w:val="31"/>
          <w:lang w:val="en-US" w:eastAsia="zh-CN" w:bidi="ar"/>
        </w:rPr>
      </w:pPr>
      <w:r>
        <w:rPr>
          <w:rFonts w:hint="eastAsia" w:ascii="仿宋_GB2312" w:hAnsi="仿宋_GB2312" w:eastAsia="仿宋_GB2312" w:cs="仿宋_GB2312"/>
          <w:b/>
          <w:bCs/>
          <w:color w:val="auto"/>
          <w:kern w:val="0"/>
          <w:sz w:val="31"/>
          <w:szCs w:val="31"/>
          <w:lang w:val="en-US" w:eastAsia="zh-CN" w:bidi="ar"/>
        </w:rPr>
        <w:t>-维权保护</w:t>
      </w:r>
    </w:p>
    <w:p>
      <w:pPr>
        <w:keepNext w:val="0"/>
        <w:keepLines w:val="0"/>
        <w:widowControl/>
        <w:suppressLineNumbers w:val="0"/>
        <w:ind w:firstLine="620"/>
        <w:jc w:val="center"/>
        <w:rPr>
          <w:rFonts w:hint="default" w:ascii="黑体" w:hAnsi="宋体" w:eastAsia="黑体" w:cs="黑体"/>
          <w:color w:val="000000"/>
          <w:kern w:val="0"/>
          <w:sz w:val="31"/>
          <w:szCs w:val="31"/>
          <w:lang w:eastAsia="zh-CN" w:bidi="ar"/>
        </w:rPr>
      </w:pPr>
      <w:r>
        <w:rPr>
          <w:rFonts w:hint="default" w:ascii="FZXiaoBiaoSong-B05S" w:hAnsi="FZXiaoBiaoSong-B05S" w:eastAsia="FZXiaoBiaoSong-B05S" w:cs="FZXiaoBiaoSong-B05S"/>
          <w:color w:val="000000"/>
          <w:kern w:val="0"/>
          <w:sz w:val="31"/>
          <w:szCs w:val="31"/>
          <w:lang w:val="en-US" w:eastAsia="zh-CN" w:bidi="ar"/>
        </w:rPr>
        <w:t>台州黄岩（塑料制品）知识产权快速维权中心</w:t>
      </w:r>
      <w:r>
        <w:rPr>
          <w:rFonts w:hint="eastAsia" w:ascii="FZXiaoBiaoSong-B05S" w:hAnsi="FZXiaoBiaoSong-B05S" w:eastAsia="FZXiaoBiaoSong-B05S" w:cs="FZXiaoBiaoSong-B05S"/>
          <w:color w:val="000000"/>
          <w:kern w:val="0"/>
          <w:sz w:val="31"/>
          <w:szCs w:val="31"/>
          <w:lang w:val="en-US" w:eastAsia="zh-CN" w:bidi="ar"/>
        </w:rPr>
        <w:t>2026上半年</w:t>
      </w:r>
      <w:r>
        <w:rPr>
          <w:rFonts w:hint="default" w:ascii="FZXiaoBiaoSong-B05S" w:hAnsi="FZXiaoBiaoSong-B05S" w:eastAsia="FZXiaoBiaoSong-B05S" w:cs="FZXiaoBiaoSong-B05S"/>
          <w:color w:val="000000"/>
          <w:kern w:val="0"/>
          <w:sz w:val="31"/>
          <w:szCs w:val="31"/>
          <w:lang w:val="en-US" w:eastAsia="zh-CN" w:bidi="ar"/>
        </w:rPr>
        <w:t>维权援助</w:t>
      </w:r>
      <w:r>
        <w:rPr>
          <w:rFonts w:hint="eastAsia" w:ascii="FZXiaoBiaoSong-B05S" w:hAnsi="FZXiaoBiaoSong-B05S" w:eastAsia="FZXiaoBiaoSong-B05S" w:cs="FZXiaoBiaoSong-B05S"/>
          <w:color w:val="000000"/>
          <w:kern w:val="0"/>
          <w:sz w:val="31"/>
          <w:szCs w:val="31"/>
          <w:lang w:val="en-US" w:eastAsia="zh-CN" w:bidi="ar"/>
        </w:rPr>
        <w:t>概况</w:t>
      </w:r>
    </w:p>
    <w:p>
      <w:pPr>
        <w:keepNext w:val="0"/>
        <w:keepLines w:val="0"/>
        <w:widowControl w:val="0"/>
        <w:numPr>
          <w:ilvl w:val="0"/>
          <w:numId w:val="0"/>
        </w:numPr>
        <w:suppressLineNumbers w:val="0"/>
        <w:spacing w:before="0" w:beforeAutospacing="0" w:after="0" w:afterAutospacing="0"/>
        <w:ind w:right="0" w:firstLine="620" w:firstLineChars="200"/>
        <w:jc w:val="both"/>
        <w:rPr>
          <w:rFonts w:hint="default" w:ascii="仿宋_GB2312" w:hAnsi="仿宋_GB2312" w:eastAsia="仿宋_GB2312" w:cs="仿宋_GB2312"/>
          <w:color w:val="000000"/>
          <w:kern w:val="0"/>
          <w:sz w:val="31"/>
          <w:szCs w:val="31"/>
          <w:lang w:eastAsia="zh-CN" w:bidi="ar"/>
        </w:rPr>
      </w:pPr>
      <w:r>
        <w:rPr>
          <w:rFonts w:hint="default" w:ascii="仿宋_GB2312" w:hAnsi="仿宋_GB2312" w:eastAsia="仿宋_GB2312" w:cs="仿宋_GB2312"/>
          <w:color w:val="000000"/>
          <w:kern w:val="0"/>
          <w:sz w:val="31"/>
          <w:szCs w:val="31"/>
          <w:lang w:eastAsia="zh-CN" w:bidi="ar"/>
        </w:rPr>
        <w:t>中心以构建“一站式”快速协同保护体系为目标，通过创新调解模式、深化协同联动，全面提升知识产权维权保护效能。</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color w:val="000000"/>
          <w:kern w:val="0"/>
          <w:sz w:val="31"/>
          <w:szCs w:val="31"/>
          <w:lang w:eastAsia="zh-CN" w:bidi="ar"/>
        </w:rPr>
      </w:pPr>
      <w:r>
        <w:rPr>
          <w:rFonts w:hint="eastAsia" w:ascii="仿宋_GB2312" w:hAnsi="仿宋_GB2312" w:eastAsia="仿宋_GB2312" w:cs="仿宋_GB2312"/>
          <w:b/>
          <w:bCs/>
          <w:color w:val="000000"/>
          <w:kern w:val="0"/>
          <w:sz w:val="31"/>
          <w:szCs w:val="31"/>
          <w:lang w:eastAsia="zh-CN" w:bidi="ar"/>
        </w:rPr>
        <w:t>一是</w:t>
      </w:r>
      <w:r>
        <w:rPr>
          <w:rFonts w:hint="default" w:ascii="仿宋_GB2312" w:hAnsi="仿宋_GB2312" w:eastAsia="仿宋_GB2312" w:cs="仿宋_GB2312"/>
          <w:b/>
          <w:bCs/>
          <w:color w:val="000000"/>
          <w:kern w:val="0"/>
          <w:sz w:val="31"/>
          <w:szCs w:val="31"/>
          <w:lang w:eastAsia="zh-CN" w:bidi="ar"/>
        </w:rPr>
        <w:t xml:space="preserve">创新纠纷调解模式。 </w:t>
      </w:r>
      <w:r>
        <w:rPr>
          <w:rFonts w:hint="default" w:ascii="仿宋_GB2312" w:hAnsi="仿宋_GB2312" w:eastAsia="仿宋_GB2312" w:cs="仿宋_GB2312"/>
          <w:color w:val="000000"/>
          <w:kern w:val="0"/>
          <w:sz w:val="31"/>
          <w:szCs w:val="31"/>
          <w:lang w:eastAsia="zh-CN" w:bidi="ar"/>
        </w:rPr>
        <w:t>2月，中心成功运用“调解促和、购转授权”模式化解“折叠水勺”外观设计专利侵权纠纷。创新推出“赔偿+转化+合作”三位一体调解方案——侵权方支付5000元赔偿的同时，向权利人采购10000元正版专利产品，从“侵权销售者”转变为“合法被授权销售者”，协议经司法确认固化调解成果。该模式探索了“侵权转合作”的新型解纷路径，体现了“调解优先、多元解纷”的实效性。</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color w:val="000000"/>
          <w:kern w:val="0"/>
          <w:sz w:val="31"/>
          <w:szCs w:val="31"/>
          <w:lang w:eastAsia="zh-CN" w:bidi="ar"/>
        </w:rPr>
      </w:pPr>
      <w:r>
        <w:rPr>
          <w:rFonts w:hint="eastAsia" w:ascii="仿宋_GB2312" w:hAnsi="仿宋_GB2312" w:eastAsia="仿宋_GB2312" w:cs="仿宋_GB2312"/>
          <w:b/>
          <w:bCs/>
          <w:color w:val="000000"/>
          <w:kern w:val="0"/>
          <w:sz w:val="31"/>
          <w:szCs w:val="31"/>
          <w:lang w:eastAsia="zh-CN" w:bidi="ar"/>
        </w:rPr>
        <w:t>二是</w:t>
      </w:r>
      <w:r>
        <w:rPr>
          <w:rFonts w:hint="default" w:ascii="仿宋_GB2312" w:hAnsi="仿宋_GB2312" w:eastAsia="仿宋_GB2312" w:cs="仿宋_GB2312"/>
          <w:b/>
          <w:bCs/>
          <w:color w:val="000000"/>
          <w:kern w:val="0"/>
          <w:sz w:val="31"/>
          <w:szCs w:val="31"/>
          <w:lang w:eastAsia="zh-CN" w:bidi="ar"/>
        </w:rPr>
        <w:t xml:space="preserve">构建“三位一体”协同保护格局。 </w:t>
      </w:r>
      <w:r>
        <w:rPr>
          <w:rFonts w:hint="default" w:ascii="仿宋_GB2312" w:hAnsi="仿宋_GB2312" w:eastAsia="仿宋_GB2312" w:cs="仿宋_GB2312"/>
          <w:color w:val="000000"/>
          <w:kern w:val="0"/>
          <w:sz w:val="31"/>
          <w:szCs w:val="31"/>
          <w:lang w:eastAsia="zh-CN" w:bidi="ar"/>
        </w:rPr>
        <w:t>4月，黄岩区人民法院、区市场监管局、区商务局联合在中心揭牌成立“黄岩区知识产权纠纷调解工作站”，正式构建“司法确认、行政调解、行业指导”三位一体协同保护工作格局。区法院与区市场监管局签署《知识产权协同保护战略合作框架协议》，构建信息协查、侵权预警、行政调解司法确认、判后监管闭环衔接等一整套机制。同步组建首批8人</w:t>
      </w:r>
      <w:r>
        <w:rPr>
          <w:rFonts w:hint="eastAsia" w:ascii="仿宋_GB2312" w:hAnsi="仿宋_GB2312" w:eastAsia="仿宋_GB2312" w:cs="仿宋_GB2312"/>
          <w:color w:val="000000"/>
          <w:kern w:val="0"/>
          <w:sz w:val="31"/>
          <w:szCs w:val="31"/>
          <w:lang w:eastAsia="zh-CN" w:bidi="ar"/>
        </w:rPr>
        <w:t>区</w:t>
      </w:r>
      <w:r>
        <w:rPr>
          <w:rFonts w:hint="default" w:ascii="仿宋_GB2312" w:hAnsi="仿宋_GB2312" w:eastAsia="仿宋_GB2312" w:cs="仿宋_GB2312"/>
          <w:color w:val="000000"/>
          <w:kern w:val="0"/>
          <w:sz w:val="31"/>
          <w:szCs w:val="31"/>
          <w:lang w:eastAsia="zh-CN" w:bidi="ar"/>
        </w:rPr>
        <w:t>知识产权专家库。黄岩区人民检察院设立全省首个入驻国家级快维中心的知识产权检察办公室，实现“四大检察”“一站式”综合履职</w:t>
      </w:r>
    </w:p>
    <w:p>
      <w:pPr>
        <w:keepNext w:val="0"/>
        <w:keepLines w:val="0"/>
        <w:widowControl w:val="0"/>
        <w:numPr>
          <w:ilvl w:val="0"/>
          <w:numId w:val="0"/>
        </w:numPr>
        <w:suppressLineNumbers w:val="0"/>
        <w:spacing w:before="0" w:beforeAutospacing="0" w:after="0" w:afterAutospacing="0"/>
        <w:ind w:right="0" w:firstLine="622" w:firstLineChars="200"/>
        <w:jc w:val="both"/>
        <w:rPr>
          <w:rFonts w:hint="default" w:ascii="仿宋_GB2312" w:hAnsi="仿宋_GB2312" w:eastAsia="仿宋_GB2312" w:cs="仿宋_GB2312"/>
          <w:color w:val="000000"/>
          <w:kern w:val="0"/>
          <w:sz w:val="31"/>
          <w:szCs w:val="31"/>
          <w:lang w:eastAsia="zh-CN" w:bidi="ar"/>
        </w:rPr>
      </w:pPr>
      <w:r>
        <w:rPr>
          <w:rFonts w:hint="eastAsia" w:ascii="仿宋_GB2312" w:hAnsi="仿宋_GB2312" w:eastAsia="仿宋_GB2312" w:cs="仿宋_GB2312"/>
          <w:b/>
          <w:bCs/>
          <w:color w:val="000000"/>
          <w:kern w:val="0"/>
          <w:sz w:val="31"/>
          <w:szCs w:val="31"/>
          <w:lang w:eastAsia="zh-CN" w:bidi="ar"/>
        </w:rPr>
        <w:t>三是</w:t>
      </w:r>
      <w:r>
        <w:rPr>
          <w:rFonts w:hint="default" w:ascii="仿宋_GB2312" w:hAnsi="仿宋_GB2312" w:eastAsia="仿宋_GB2312" w:cs="仿宋_GB2312"/>
          <w:b/>
          <w:bCs/>
          <w:color w:val="000000"/>
          <w:kern w:val="0"/>
          <w:sz w:val="31"/>
          <w:szCs w:val="31"/>
          <w:lang w:eastAsia="zh-CN" w:bidi="ar"/>
        </w:rPr>
        <w:t>深化跨区域与海外协同保护。</w:t>
      </w:r>
      <w:r>
        <w:rPr>
          <w:rFonts w:hint="default" w:ascii="仿宋_GB2312" w:hAnsi="仿宋_GB2312" w:eastAsia="仿宋_GB2312" w:cs="仿宋_GB2312"/>
          <w:color w:val="000000"/>
          <w:kern w:val="0"/>
          <w:sz w:val="31"/>
          <w:szCs w:val="31"/>
          <w:lang w:eastAsia="zh-CN" w:bidi="ar"/>
        </w:rPr>
        <w:t>4月17日，中心与上海奉贤（化妆品）快维中心签署《知识产权合作框架协议》，建立经验交流共享、维权跨域互助、制度创新合作、协作互认共享四大工作机制。4月24日，海外知识产权纠纷应对指导台州工作平台黄岩工作站揭牌成立，与国家知识产权局专利审查协作湖北中心签署合作协议。4月22日，中心牵头法院、公安、市监等6部门出台《黄岩区知识产权刑事案件民事维权快速处理实施细则》，将调解工作向前延伸，全面提高刑事案件民事调解效率。</w:t>
      </w:r>
    </w:p>
    <w:p>
      <w:pPr>
        <w:keepNext w:val="0"/>
        <w:keepLines w:val="0"/>
        <w:widowControl/>
        <w:numPr>
          <w:ilvl w:val="0"/>
          <w:numId w:val="0"/>
        </w:numPr>
        <w:suppressLineNumbers w:val="0"/>
        <w:ind w:leftChars="0"/>
        <w:jc w:val="left"/>
        <w:rPr>
          <w:rFonts w:hint="eastAsia" w:ascii="仿宋_GB2312" w:hAnsi="仿宋_GB2312" w:eastAsia="仿宋_GB2312" w:cs="仿宋_GB2312"/>
          <w:color w:val="000000"/>
          <w:kern w:val="0"/>
          <w:sz w:val="31"/>
          <w:szCs w:val="31"/>
          <w:lang w:val="en-US" w:eastAsia="zh-CN" w:bidi="ar"/>
        </w:rPr>
      </w:pPr>
    </w:p>
    <w:p>
      <w:pPr>
        <w:keepNext w:val="0"/>
        <w:keepLines w:val="0"/>
        <w:widowControl/>
        <w:suppressLineNumbers w:val="0"/>
        <w:jc w:val="both"/>
        <w:rPr>
          <w:rFonts w:hint="eastAsia" w:ascii="仿宋_GB2312" w:hAnsi="仿宋_GB2312" w:eastAsia="仿宋_GB2312" w:cs="仿宋_GB2312"/>
          <w:b/>
          <w:bCs/>
          <w:color w:val="auto"/>
          <w:kern w:val="0"/>
          <w:sz w:val="31"/>
          <w:szCs w:val="31"/>
          <w:lang w:val="en-US" w:eastAsia="zh-CN" w:bidi="ar"/>
        </w:rPr>
      </w:pPr>
      <w:r>
        <w:rPr>
          <w:rFonts w:hint="eastAsia" w:ascii="仿宋_GB2312" w:hAnsi="仿宋_GB2312" w:eastAsia="仿宋_GB2312" w:cs="仿宋_GB2312"/>
          <w:b/>
          <w:bCs/>
          <w:color w:val="auto"/>
          <w:kern w:val="0"/>
          <w:sz w:val="31"/>
          <w:szCs w:val="31"/>
          <w:lang w:val="en-US" w:eastAsia="zh-CN" w:bidi="ar"/>
        </w:rPr>
        <w:t>-公共服务</w:t>
      </w:r>
    </w:p>
    <w:p>
      <w:pPr>
        <w:keepNext w:val="0"/>
        <w:keepLines w:val="0"/>
        <w:widowControl/>
        <w:suppressLineNumbers w:val="0"/>
        <w:ind w:firstLine="620"/>
        <w:jc w:val="center"/>
        <w:rPr>
          <w:rFonts w:hint="eastAsia" w:ascii="黑体" w:hAnsi="宋体" w:eastAsia="黑体" w:cs="黑体"/>
          <w:color w:val="000000"/>
          <w:kern w:val="0"/>
          <w:sz w:val="31"/>
          <w:szCs w:val="31"/>
          <w:lang w:val="en-US" w:eastAsia="zh-CN" w:bidi="ar"/>
        </w:rPr>
      </w:pPr>
      <w:r>
        <w:rPr>
          <w:rFonts w:hint="default" w:ascii="FZXiaoBiaoSong-B05S" w:hAnsi="FZXiaoBiaoSong-B05S" w:eastAsia="FZXiaoBiaoSong-B05S" w:cs="FZXiaoBiaoSong-B05S"/>
          <w:color w:val="000000"/>
          <w:kern w:val="0"/>
          <w:sz w:val="31"/>
          <w:szCs w:val="31"/>
          <w:lang w:val="en-US" w:eastAsia="zh-CN" w:bidi="ar"/>
        </w:rPr>
        <w:t>台州黄岩（塑料制品）知识产权快速维权中心</w:t>
      </w:r>
      <w:r>
        <w:rPr>
          <w:rFonts w:hint="eastAsia" w:ascii="FZXiaoBiaoSong-B05S" w:hAnsi="FZXiaoBiaoSong-B05S" w:eastAsia="FZXiaoBiaoSong-B05S" w:cs="FZXiaoBiaoSong-B05S"/>
          <w:color w:val="000000"/>
          <w:kern w:val="0"/>
          <w:sz w:val="31"/>
          <w:szCs w:val="31"/>
          <w:lang w:val="en-US" w:eastAsia="zh-CN" w:bidi="ar"/>
        </w:rPr>
        <w:t>2026上半年公共服务概况</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中心通过平台建设与服务创新，构建覆盖创新、保护、运用全链条的知识产权公共服务体系。</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一是</w:t>
      </w:r>
      <w:r>
        <w:rPr>
          <w:rFonts w:hint="default" w:ascii="仿宋_GB2312" w:hAnsi="仿宋_GB2312" w:eastAsia="仿宋_GB2312" w:cs="仿宋_GB2312"/>
          <w:b/>
          <w:bCs/>
          <w:color w:val="000000"/>
          <w:kern w:val="0"/>
          <w:sz w:val="31"/>
          <w:szCs w:val="31"/>
          <w:lang w:val="en-US" w:eastAsia="zh-CN" w:bidi="ar"/>
        </w:rPr>
        <w:t>领导调研与工作指导。</w:t>
      </w:r>
      <w:r>
        <w:rPr>
          <w:rFonts w:hint="default" w:ascii="仿宋_GB2312" w:hAnsi="仿宋_GB2312" w:eastAsia="仿宋_GB2312" w:cs="仿宋_GB2312"/>
          <w:color w:val="000000"/>
          <w:kern w:val="0"/>
          <w:sz w:val="31"/>
          <w:szCs w:val="31"/>
          <w:lang w:val="en-US" w:eastAsia="zh-CN" w:bidi="ar"/>
        </w:rPr>
        <w:t>4月1日，浙江省市场监管局副局长顾文海一行莅临中心调研，对中心聚焦塑料制品产业、构建“快速授权、快速确权、快速维权”全链条服务体系给予充分肯定。调研组还赴中国（黄岩）塑料新品数智化快速成型中心考察，该中心为全国首家“AI驱动、全链服务”的塑料新品数智化快速成型中心。</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二是</w:t>
      </w:r>
      <w:r>
        <w:rPr>
          <w:rFonts w:hint="default" w:ascii="仿宋_GB2312" w:hAnsi="仿宋_GB2312" w:eastAsia="仿宋_GB2312" w:cs="仿宋_GB2312"/>
          <w:b/>
          <w:bCs/>
          <w:color w:val="000000"/>
          <w:kern w:val="0"/>
          <w:sz w:val="31"/>
          <w:szCs w:val="31"/>
          <w:lang w:val="en-US" w:eastAsia="zh-CN" w:bidi="ar"/>
        </w:rPr>
        <w:t>平台服务能级提升。</w:t>
      </w:r>
      <w:r>
        <w:rPr>
          <w:rFonts w:hint="default" w:ascii="仿宋_GB2312" w:hAnsi="仿宋_GB2312" w:eastAsia="仿宋_GB2312" w:cs="仿宋_GB2312"/>
          <w:color w:val="000000"/>
          <w:kern w:val="0"/>
          <w:sz w:val="31"/>
          <w:szCs w:val="31"/>
          <w:lang w:val="en-US" w:eastAsia="zh-CN" w:bidi="ar"/>
        </w:rPr>
        <w:t xml:space="preserve"> 6月4日，中心联合“宁智汇”黄岩区数字经济产业线上一站式服务平台，正式上线“知识产权”菜单，下设专利申请、数据知识产权登记、专利维权三大核心模块，覆盖专利预审、申请代理、维护运营、分析评议等全生命周期服务。其中数据知识产权登记模块支持企业对依法收集、经算法加工、具有实用价值的数据成果进行权益保护。平台将服务浙东南智算中心、创造湾等产业园区的上百家企业。</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三是</w:t>
      </w:r>
      <w:r>
        <w:rPr>
          <w:rFonts w:hint="default" w:ascii="仿宋_GB2312" w:hAnsi="仿宋_GB2312" w:eastAsia="仿宋_GB2312" w:cs="仿宋_GB2312"/>
          <w:b/>
          <w:bCs/>
          <w:color w:val="000000"/>
          <w:kern w:val="0"/>
          <w:sz w:val="31"/>
          <w:szCs w:val="31"/>
          <w:lang w:val="en-US" w:eastAsia="zh-CN" w:bidi="ar"/>
        </w:rPr>
        <w:t>精准化宣传培训服务。</w:t>
      </w:r>
      <w:r>
        <w:rPr>
          <w:rFonts w:hint="default" w:ascii="仿宋_GB2312" w:hAnsi="仿宋_GB2312" w:eastAsia="仿宋_GB2312" w:cs="仿宋_GB2312"/>
          <w:color w:val="000000"/>
          <w:kern w:val="0"/>
          <w:sz w:val="31"/>
          <w:szCs w:val="31"/>
          <w:lang w:val="en-US" w:eastAsia="zh-CN" w:bidi="ar"/>
        </w:rPr>
        <w:t>宣传周期间，中心深入浙东南智算经济产业园开展“AI智算”领域专项服务，提出“软著确权、专利护核、商业秘密补充”三位一体防护思路；专题解读《浙江省人工智能领域数据知识产权登记申请指引（2025）》。4月21日，中心</w:t>
      </w:r>
      <w:r>
        <w:rPr>
          <w:rFonts w:hint="eastAsia" w:ascii="仿宋_GB2312" w:hAnsi="仿宋_GB2312" w:eastAsia="仿宋_GB2312" w:cs="仿宋_GB2312"/>
          <w:color w:val="000000"/>
          <w:kern w:val="0"/>
          <w:sz w:val="31"/>
          <w:szCs w:val="31"/>
          <w:lang w:val="en-US" w:eastAsia="zh-CN" w:bidi="ar"/>
        </w:rPr>
        <w:t>开展知识产权进校园、进企业联动直播活动，扩大知识产权宣传覆盖面。</w:t>
      </w:r>
    </w:p>
    <w:p>
      <w:pPr>
        <w:keepNext w:val="0"/>
        <w:keepLines w:val="0"/>
        <w:widowControl/>
        <w:numPr>
          <w:ilvl w:val="0"/>
          <w:numId w:val="0"/>
        </w:numPr>
        <w:suppressLineNumbers w:val="0"/>
        <w:ind w:leftChars="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二、热点聚焦</w:t>
      </w:r>
    </w:p>
    <w:p>
      <w:pPr>
        <w:keepNext w:val="0"/>
        <w:keepLines w:val="0"/>
        <w:widowControl/>
        <w:numPr>
          <w:ilvl w:val="0"/>
          <w:numId w:val="0"/>
        </w:numPr>
        <w:suppressLineNumbers w:val="0"/>
        <w:ind w:leftChars="0"/>
        <w:jc w:val="left"/>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-国内政策</w:t>
      </w:r>
    </w:p>
    <w:p>
      <w:pPr>
        <w:keepNext w:val="0"/>
        <w:keepLines w:val="0"/>
        <w:widowControl/>
        <w:suppressLineNumbers w:val="0"/>
        <w:jc w:val="center"/>
        <w:rPr>
          <w:rFonts w:hint="eastAsia" w:ascii="FZXiaoBiaoSong-B05S" w:hAnsi="FZXiaoBiaoSong-B05S" w:eastAsia="FZXiaoBiaoSong-B05S" w:cs="FZXiaoBiaoSong-B05S"/>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新版《专利审查指南》1月1日起施行</w:t>
      </w:r>
    </w:p>
    <w:p>
      <w:pPr>
        <w:keepNext w:val="0"/>
        <w:keepLines w:val="0"/>
        <w:widowControl/>
        <w:numPr>
          <w:ilvl w:val="0"/>
          <w:numId w:val="0"/>
        </w:numPr>
        <w:suppressLineNumbers w:val="0"/>
        <w:ind w:leftChars="0" w:firstLine="620" w:firstLineChars="20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最新修改的《专利审查指南》自2026年1月1日起施行。本次修改进一步完善了人工智能领域审查标准，首次在《指南》中以“人工智能、大数据”为主题设立专门章节。修订内容主要包括加强人工智能伦理审查、明确申请文件披露技术方案的要求以及完善创造性判断规则。</w:t>
      </w:r>
    </w:p>
    <w:p>
      <w:pPr>
        <w:keepNext w:val="0"/>
        <w:keepLines w:val="0"/>
        <w:widowControl/>
        <w:suppressLineNumbers w:val="0"/>
        <w:jc w:val="center"/>
        <w:rPr>
          <w:rFonts w:hint="eastAsia" w:ascii="FZXiaoBiaoSong-B05S" w:hAnsi="FZXiaoBiaoSong-B05S" w:eastAsia="FZXiaoBiaoSong-B05S" w:cs="FZXiaoBiaoSong-B05S"/>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国家知识产权局发布《关于产业集群品牌和区域品牌申请注册 商标的指引》</w:t>
      </w:r>
    </w:p>
    <w:p>
      <w:pPr>
        <w:keepNext w:val="0"/>
        <w:keepLines w:val="0"/>
        <w:widowControl/>
        <w:numPr>
          <w:ilvl w:val="0"/>
          <w:numId w:val="0"/>
        </w:numPr>
        <w:suppressLineNumbers w:val="0"/>
        <w:ind w:leftChars="0" w:firstLine="620" w:firstLineChars="20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 xml:space="preserve"> 1 月 8日，国家知识产权局发布《关于产业集群品牌和区 域品牌申请注册商标的指引》，要求充分发挥集体商标、证明 商标制度作用，助力打造特色鲜明、竞争力强、市场信誉好的 产业集群品牌和区域品牌，引导各地理性推动产业集群品牌和 区域品牌商标化。</w:t>
      </w:r>
    </w:p>
    <w:p>
      <w:pPr>
        <w:keepNext w:val="0"/>
        <w:keepLines w:val="0"/>
        <w:widowControl/>
        <w:suppressLineNumbers w:val="0"/>
        <w:jc w:val="center"/>
        <w:rPr>
          <w:b w:val="0"/>
          <w:bCs w:val="0"/>
        </w:rPr>
      </w:pPr>
      <w:r>
        <w:rPr>
          <w:rFonts w:ascii="FZXiaoBiaoSong-B05S" w:hAnsi="FZXiaoBiaoSong-B05S" w:eastAsia="FZXiaoBiaoSong-B05S" w:cs="FZXiaoBiaoSong-B05S"/>
          <w:b w:val="0"/>
          <w:bCs w:val="0"/>
          <w:color w:val="000000"/>
          <w:kern w:val="0"/>
          <w:sz w:val="31"/>
          <w:szCs w:val="31"/>
          <w:lang w:val="en-US" w:eastAsia="zh-CN" w:bidi="ar"/>
        </w:rPr>
        <w:t>国家知识产权局发布《专利优先审查管理办法修改草案（征求</w:t>
      </w:r>
    </w:p>
    <w:p>
      <w:pPr>
        <w:keepNext w:val="0"/>
        <w:keepLines w:val="0"/>
        <w:widowControl/>
        <w:suppressLineNumbers w:val="0"/>
        <w:jc w:val="center"/>
        <w:rPr>
          <w:b w:val="0"/>
          <w:bCs w:val="0"/>
        </w:rPr>
      </w:pPr>
      <w:r>
        <w:rPr>
          <w:rFonts w:hint="eastAsia" w:ascii="FZXiaoBiaoSong-B05S" w:hAnsi="FZXiaoBiaoSong-B05S" w:eastAsia="FZXiaoBiaoSong-B05S" w:cs="FZXiaoBiaoSong-B05S"/>
          <w:b w:val="0"/>
          <w:bCs w:val="0"/>
          <w:color w:val="000000"/>
          <w:kern w:val="0"/>
          <w:sz w:val="31"/>
          <w:szCs w:val="31"/>
          <w:lang w:val="en-US" w:eastAsia="zh-CN" w:bidi="ar"/>
        </w:rPr>
        <w:t>意见稿）》</w:t>
      </w:r>
    </w:p>
    <w:p>
      <w:pPr>
        <w:keepNext w:val="0"/>
        <w:keepLines w:val="0"/>
        <w:widowControl/>
        <w:suppressLineNumbers w:val="0"/>
        <w:ind w:firstLine="620" w:firstLineChars="200"/>
        <w:jc w:val="left"/>
        <w:rPr>
          <w:rFonts w:hint="eastAsia" w:ascii="仿宋_GB2312" w:hAnsi="仿宋_GB2312" w:eastAsia="仿宋_GB2312" w:cs="仿宋_GB2312"/>
          <w:b w:val="0"/>
          <w:bCs w:val="0"/>
          <w:color w:val="000000"/>
          <w:kern w:val="0"/>
          <w:sz w:val="31"/>
          <w:szCs w:val="31"/>
          <w:lang w:val="en-US" w:eastAsia="zh-CN" w:bidi="ar"/>
        </w:rPr>
      </w:pPr>
      <w:r>
        <w:rPr>
          <w:rFonts w:ascii="FZFangSong-Z02" w:hAnsi="FZFangSong-Z02" w:eastAsia="FZFangSong-Z02" w:cs="FZFangSong-Z02"/>
          <w:color w:val="000000"/>
          <w:kern w:val="0"/>
          <w:sz w:val="31"/>
          <w:szCs w:val="31"/>
          <w:lang w:val="en-US" w:eastAsia="zh-CN" w:bidi="ar"/>
        </w:rPr>
        <w:t xml:space="preserve">2月26日，国家知识产权局发布通知，就《专利优先审查 </w:t>
      </w:r>
      <w:r>
        <w:rPr>
          <w:rFonts w:hint="default" w:ascii="FZFangSong-Z02" w:hAnsi="FZFangSong-Z02" w:eastAsia="FZFangSong-Z02" w:cs="FZFangSong-Z02"/>
          <w:color w:val="000000"/>
          <w:kern w:val="0"/>
          <w:sz w:val="31"/>
          <w:szCs w:val="31"/>
          <w:lang w:val="en-US" w:eastAsia="zh-CN" w:bidi="ar"/>
        </w:rPr>
        <w:t xml:space="preserve">管理办法修改草案（征求意见稿）》向社会各界征求意见。现行《专利优先审查管理办法》共15条，本次修改对其中的14条进行了修改，同时新增了9条。征求意见稿共24条， 分为总则、适用条件、办理手续、工作流程和要求、运行管理规范以及附则共六章。本次修改主要聚焦当前实践中的管理和操作问题，总体思路包括以下方面：一是结合新形势新要求适应性完善准入条件，突出支撑国家需求；二是完善全链条运行管理机制，强化精准服务保障；三是提升服务便利化水平，有效回应社会关切与创新主体期盼；四是及时将实践中运行良好、各方认识较为一致的经验做法上升为规定。同时，对部分文字表述进行了适应性调整，使条款表述更加严谨规范。 </w:t>
      </w:r>
    </w:p>
    <w:p>
      <w:pPr>
        <w:keepNext w:val="0"/>
        <w:keepLines w:val="0"/>
        <w:widowControl/>
        <w:suppressLineNumbers w:val="0"/>
        <w:jc w:val="center"/>
        <w:rPr>
          <w:rFonts w:hint="eastAsia" w:ascii="FZXiaoBiaoSong-B05S" w:hAnsi="FZXiaoBiaoSong-B05S" w:eastAsia="FZXiaoBiaoSong-B05S" w:cs="FZXiaoBiaoSong-B05S"/>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 xml:space="preserve">国家知识产权局发布《知识产权信息分析利用指南》 </w:t>
      </w:r>
    </w:p>
    <w:p>
      <w:pPr>
        <w:keepNext w:val="0"/>
        <w:keepLines w:val="0"/>
        <w:widowControl/>
        <w:numPr>
          <w:ilvl w:val="0"/>
          <w:numId w:val="0"/>
        </w:numPr>
        <w:suppressLineNumbers w:val="0"/>
        <w:ind w:firstLine="620" w:firstLineChars="20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3月5日，国家知识产权局印发《知识产权信息分析利用 指南》，为创新主体和服务机构提供知识产权信息分析利用的 全链条指引。《指南》共四章，整合了国家知识产权公共服务平台、国际主要数据资源及商业化数据库等多种渠道；系统介绍了14种专利信息分析方法、7种商标信息分析方法以及 3 种综合信息分析方法，助力防范风险与优化决策；规范了从信息采集到报告撰写的全流程，强调数据安全与伦理风险防范。此外，《指 南》聚焦AI技术应用，介绍了文本翻译、自动报告生成等14类智能工具，并展望了未来技术演进方向。</w:t>
      </w:r>
    </w:p>
    <w:p>
      <w:pPr>
        <w:keepNext w:val="0"/>
        <w:keepLines w:val="0"/>
        <w:widowControl/>
        <w:suppressLineNumbers w:val="0"/>
        <w:jc w:val="center"/>
        <w:rPr>
          <w:rFonts w:hint="eastAsia" w:ascii="FZXiaoBiaoSong-B05S" w:hAnsi="FZXiaoBiaoSong-B05S" w:eastAsia="FZXiaoBiaoSong-B05S" w:cs="FZXiaoBiaoSong-B05S"/>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国家知识产权局印发《2026年知识产权行政保护工作方案》</w:t>
      </w:r>
    </w:p>
    <w:p>
      <w:pPr>
        <w:keepNext w:val="0"/>
        <w:keepLines w:val="0"/>
        <w:widowControl/>
        <w:numPr>
          <w:ilvl w:val="0"/>
          <w:numId w:val="0"/>
        </w:numPr>
        <w:suppressLineNumbers w:val="0"/>
        <w:ind w:firstLine="620" w:firstLineChars="20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4月10日，国家知识产权局印发了《2026年知识产权行政保护工作方案》，围绕十二项重点任务部署了53项具体举措。该方案推动保护工作从“事后处置”向“前端预防、全链条治理”转变，强调强化源头治理，严厉打击非正常专利申请和商标恶意注册；聚焦人工智能、集成电路等新兴领域，加强制度研究与服务保障；同时，通过健全行政裁决体系、深化跨区域跨部门协作、加强涉外知识产权保护等方式，构建起精准、高效、协同的现代化知识产权保护体系。</w:t>
      </w:r>
    </w:p>
    <w:p>
      <w:pPr>
        <w:keepNext w:val="0"/>
        <w:keepLines w:val="0"/>
        <w:widowControl/>
        <w:numPr>
          <w:ilvl w:val="0"/>
          <w:numId w:val="0"/>
        </w:numPr>
        <w:suppressLineNumbers w:val="0"/>
        <w:jc w:val="center"/>
        <w:rPr>
          <w:rFonts w:hint="eastAsia" w:ascii="FZXiaoBiaoSong-B05S" w:hAnsi="FZXiaoBiaoSong-B05S" w:eastAsia="FZXiaoBiaoSong-B05S" w:cs="FZXiaoBiaoSong-B05S"/>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《2026年知识产权强国建设推进计划》明确将开展多个专项行动强化知识产权保护</w:t>
      </w:r>
    </w:p>
    <w:p>
      <w:pPr>
        <w:keepNext w:val="0"/>
        <w:keepLines w:val="0"/>
        <w:widowControl/>
        <w:numPr>
          <w:ilvl w:val="0"/>
          <w:numId w:val="0"/>
        </w:numPr>
        <w:suppressLineNumbers w:val="0"/>
        <w:ind w:leftChars="0" w:firstLine="620" w:firstLineChars="20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国家知识产权强国建设工作部际联席会议办公室5月16日公开发布《2026年知识产权强国建设推进计划》，部署完善知识产权制度、强化知识产权保护、完善知识产权市场运行机制、深度参与全球知识产权治理等七方面重点任务。其中明确，开展多个专项行动强化知识产权保护。</w:t>
      </w:r>
    </w:p>
    <w:p>
      <w:pPr>
        <w:keepNext w:val="0"/>
        <w:keepLines w:val="0"/>
        <w:widowControl/>
        <w:numPr>
          <w:ilvl w:val="0"/>
          <w:numId w:val="0"/>
        </w:numPr>
        <w:suppressLineNumbers w:val="0"/>
        <w:ind w:leftChars="0" w:firstLine="620" w:firstLineChars="20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计划明确，开展打击网络侵权盗版“剑网2026”、院线电影版权保护“剑影2026”、青少年版权保护季等专项行动，完善重点领域作品预警、文创产品版权保护机制；开展“守护知识产权”新兴领域和电子商务领域专项执法行动；组织开展知识产权海关保护“龙腾”专项行动，加快推动海关“智慧知识产权”场景建设。</w:t>
      </w:r>
    </w:p>
    <w:p>
      <w:pPr>
        <w:keepNext w:val="0"/>
        <w:keepLines w:val="0"/>
        <w:widowControl/>
        <w:suppressLineNumbers w:val="0"/>
        <w:jc w:val="center"/>
        <w:rPr>
          <w:rFonts w:hint="eastAsia" w:ascii="FZXiaoBiaoSong-B05S" w:hAnsi="FZXiaoBiaoSong-B05S" w:eastAsia="FZXiaoBiaoSong-B05S" w:cs="FZXiaoBiaoSong-B05S"/>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全国人大常委会修订通过《商标法》</w:t>
      </w:r>
    </w:p>
    <w:p>
      <w:pPr>
        <w:keepNext w:val="0"/>
        <w:keepLines w:val="0"/>
        <w:widowControl/>
        <w:numPr>
          <w:ilvl w:val="0"/>
          <w:numId w:val="0"/>
        </w:numPr>
        <w:suppressLineNumbers w:val="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 xml:space="preserve">     6月26日，十四届全国人大常委会第二十三次会议表决通 过新修订的《中华人民共和国商标法》，将于2027年1月 1日起施行。这是《商标法》实施以来首次系统性修订，重点完 善商标注册、管理、保护和执法制度。新法重构商标管理体制， 优化商标注册审查流程，新增动态标志等可注册商标类型，完 善恶意注册、商标囤积治理机制，强化驰名商标、地理标志等 保护规则，并赋予执法部门调取电子数据等执法权限，进一步 健全商标行政执法与司法保护衔接机制。</w:t>
      </w:r>
    </w:p>
    <w:p>
      <w:pPr>
        <w:keepNext w:val="0"/>
        <w:keepLines w:val="0"/>
        <w:widowControl/>
        <w:numPr>
          <w:ilvl w:val="0"/>
          <w:numId w:val="0"/>
        </w:numPr>
        <w:suppressLineNumbers w:val="0"/>
        <w:jc w:val="left"/>
        <w:rPr>
          <w:rFonts w:hint="eastAsia" w:ascii="仿宋_GB2312" w:hAnsi="仿宋_GB2312" w:eastAsia="仿宋_GB2312" w:cs="仿宋_GB2312"/>
          <w:b w:val="0"/>
          <w:bCs w:val="0"/>
          <w:color w:val="000000"/>
          <w:kern w:val="0"/>
          <w:sz w:val="31"/>
          <w:szCs w:val="31"/>
          <w:lang w:val="en-US" w:eastAsia="zh-CN" w:bidi="ar"/>
        </w:rPr>
      </w:pPr>
    </w:p>
    <w:p>
      <w:pPr>
        <w:keepNext w:val="0"/>
        <w:keepLines w:val="0"/>
        <w:widowControl/>
        <w:numPr>
          <w:ilvl w:val="0"/>
          <w:numId w:val="0"/>
        </w:numPr>
        <w:suppressLineNumbers w:val="0"/>
        <w:ind w:leftChars="0"/>
        <w:jc w:val="left"/>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-黄岩动态</w:t>
      </w:r>
    </w:p>
    <w:p>
      <w:pPr>
        <w:keepNext w:val="0"/>
        <w:keepLines w:val="0"/>
        <w:widowControl/>
        <w:numPr>
          <w:ilvl w:val="0"/>
          <w:numId w:val="0"/>
        </w:numPr>
        <w:suppressLineNumbers w:val="0"/>
        <w:ind w:leftChars="0"/>
        <w:jc w:val="left"/>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 调研指导</w:t>
      </w:r>
    </w:p>
    <w:p>
      <w:pPr>
        <w:keepNext w:val="0"/>
        <w:keepLines w:val="0"/>
        <w:widowControl/>
        <w:suppressLineNumbers w:val="0"/>
        <w:jc w:val="center"/>
        <w:rPr>
          <w:rFonts w:hint="eastAsia" w:ascii="FZXiaoBiaoSong-B05S" w:hAnsi="FZXiaoBiaoSong-B05S" w:eastAsia="FZXiaoBiaoSong-B05S" w:cs="FZXiaoBiaoSong-B05S"/>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浙江省市场监管局副局长顾文海一行莅临中心调研指导</w:t>
      </w:r>
    </w:p>
    <w:p>
      <w:pPr>
        <w:keepNext w:val="0"/>
        <w:keepLines w:val="0"/>
        <w:widowControl/>
        <w:numPr>
          <w:ilvl w:val="0"/>
          <w:numId w:val="0"/>
        </w:numPr>
        <w:suppressLineNumbers w:val="0"/>
        <w:ind w:leftChars="0" w:firstLine="620" w:firstLineChars="200"/>
        <w:jc w:val="left"/>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4月1日，浙江省市场监管局副局长顾文海一行莅临中心调研，实地考察中心运行情况，对中心聚焦塑料制品产业、构建“快速授权、快速确权、快速维权”全链条服务体系给予充分肯定。调研组还赴中国（黄岩）塑料新品数智化快速成型中心考察，该中心为全国首家“AI驱动、全链服务”的塑料新品数智化快速成型中心。</w:t>
      </w:r>
    </w:p>
    <w:p>
      <w:pPr>
        <w:keepNext w:val="0"/>
        <w:keepLines w:val="0"/>
        <w:widowControl/>
        <w:numPr>
          <w:ilvl w:val="0"/>
          <w:numId w:val="0"/>
        </w:numPr>
        <w:suppressLineNumbers w:val="0"/>
        <w:ind w:leftChars="0"/>
        <w:jc w:val="left"/>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 协同保护</w:t>
      </w:r>
    </w:p>
    <w:p>
      <w:pPr>
        <w:keepNext w:val="0"/>
        <w:keepLines w:val="0"/>
        <w:widowControl/>
        <w:suppressLineNumbers w:val="0"/>
        <w:jc w:val="center"/>
        <w:rPr>
          <w:rFonts w:hint="eastAsia" w:ascii="FZXiaoBiaoSong-B05S" w:hAnsi="FZXiaoBiaoSong-B05S" w:eastAsia="FZXiaoBiaoSong-B05S" w:cs="FZXiaoBiaoSong-B05S"/>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黄岩快维中心与上海奉贤（化妆品）快维中心签署合作框架协议</w:t>
      </w:r>
    </w:p>
    <w:p>
      <w:pPr>
        <w:keepNext w:val="0"/>
        <w:keepLines w:val="0"/>
        <w:widowControl/>
        <w:suppressLineNumbers w:val="0"/>
        <w:ind w:firstLine="62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4月17日，中心与上海奉贤（化妆品）快维中心签署《知识产权合作框架协议》，建立经验交流共享、维权跨域互助、制度创新合作、协作互认共享四大工作机制。根据协议，双方将定期开展业务交流与信息共享，在跨区域专利侵权纠纷案件处理中建立快速移送和协同办案机制，共同探索知识产权保护制度创新，标志着黄岩跨区域知识产权协同保护迈出实质性步伐。</w:t>
      </w:r>
    </w:p>
    <w:p>
      <w:pPr>
        <w:keepNext w:val="0"/>
        <w:keepLines w:val="0"/>
        <w:widowControl/>
        <w:suppressLineNumbers w:val="0"/>
        <w:jc w:val="center"/>
        <w:rPr>
          <w:rFonts w:hint="eastAsia" w:ascii="仿宋_GB2312" w:hAnsi="仿宋_GB2312" w:eastAsia="仿宋_GB2312" w:cs="仿宋_GB2312"/>
          <w:b w:val="0"/>
          <w:bCs w:val="0"/>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六部门联合出台刑事案件民事维权快速处理细则</w:t>
      </w:r>
    </w:p>
    <w:p>
      <w:pPr>
        <w:keepNext w:val="0"/>
        <w:keepLines w:val="0"/>
        <w:widowControl/>
        <w:suppressLineNumbers w:val="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 xml:space="preserve">  4月22日，中心牵头区法院、区检察院、区公安分局、区市场监管局、区司法局等6部门联合出台《黄岩区知识产权刑事案件民事维权快速处理实施细则》。《细则》明确在知识产权刑事案件办理过程中，将民事调解工作向前延伸，建立刑事案件民事维权“同步受理、同步调查、同步调解”工作机制，全面提高刑事案件民事调解效率，切实降低权利人维权成本。</w:t>
      </w:r>
    </w:p>
    <w:p>
      <w:pPr>
        <w:keepNext w:val="0"/>
        <w:keepLines w:val="0"/>
        <w:widowControl/>
        <w:suppressLineNumbers w:val="0"/>
        <w:jc w:val="center"/>
        <w:rPr>
          <w:rFonts w:hint="eastAsia" w:ascii="仿宋_GB2312" w:hAnsi="仿宋_GB2312" w:eastAsia="仿宋_GB2312" w:cs="仿宋_GB2312"/>
          <w:b w:val="0"/>
          <w:bCs w:val="0"/>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黄岩区知识产权纠纷调解工作站揭牌成立</w:t>
      </w:r>
    </w:p>
    <w:p>
      <w:pPr>
        <w:keepNext w:val="0"/>
        <w:keepLines w:val="0"/>
        <w:widowControl/>
        <w:numPr>
          <w:ilvl w:val="0"/>
          <w:numId w:val="0"/>
        </w:numPr>
        <w:suppressLineNumbers w:val="0"/>
        <w:ind w:leftChars="0" w:firstLine="620" w:firstLineChars="20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4月24日，“黄岩区知识产权纠纷调解工作站”在中心揭牌，正式构建“司法确认、行政调解、行业指导”三位一体协同保护工作格局。区法院与区市场监管局签署《知识产权协同保护战略合作框架协议》，建立信息协查、侵权预警、行政调解司法确认、判后监管闭环衔接等机制。区人民检察院设立全省首个入驻国家级快维中心的知识产权检察办公室，实现“四大检察”“一站式”综合履职。</w:t>
      </w:r>
    </w:p>
    <w:p>
      <w:pPr>
        <w:keepNext w:val="0"/>
        <w:keepLines w:val="0"/>
        <w:widowControl/>
        <w:numPr>
          <w:ilvl w:val="0"/>
          <w:numId w:val="0"/>
        </w:numPr>
        <w:suppressLineNumbers w:val="0"/>
        <w:jc w:val="left"/>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 平台建设</w:t>
      </w:r>
    </w:p>
    <w:p>
      <w:pPr>
        <w:keepNext w:val="0"/>
        <w:keepLines w:val="0"/>
        <w:widowControl/>
        <w:suppressLineNumbers w:val="0"/>
        <w:jc w:val="center"/>
        <w:rPr>
          <w:rFonts w:hint="eastAsia" w:ascii="仿宋_GB2312" w:hAnsi="仿宋_GB2312" w:eastAsia="仿宋_GB2312" w:cs="仿宋_GB2312"/>
          <w:b/>
          <w:bCs/>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“宁智汇”平台“知识产权”服务菜单正式上线</w:t>
      </w:r>
    </w:p>
    <w:p>
      <w:pPr>
        <w:keepNext w:val="0"/>
        <w:keepLines w:val="0"/>
        <w:widowControl/>
        <w:numPr>
          <w:ilvl w:val="0"/>
          <w:numId w:val="0"/>
        </w:numPr>
        <w:suppressLineNumbers w:val="0"/>
        <w:ind w:leftChars="0" w:firstLine="620" w:firstLineChars="200"/>
        <w:jc w:val="left"/>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6月4日，中心联合“宁智汇”黄岩区数字经济产业线上一站式服务平台正式上线“知识产权”服务菜单，下设专利申请、数据知识产权登记、专利维权三大核心模块，覆盖专利预审、申请代理、维护运营、分析评议等全生命周期服务。平台创新“AI+产权交易”服务模式，已依托该功能完成首单原创设计方案线上交易，将服务浙东南智算中心、创造湾等产业园区的上百家企业。截至7月8日，平台总访问量超30000次，“永小宁AI小助手”累计接受政策咨询2150余次。</w:t>
      </w:r>
    </w:p>
    <w:p>
      <w:pPr>
        <w:keepNext w:val="0"/>
        <w:keepLines w:val="0"/>
        <w:widowControl/>
        <w:numPr>
          <w:ilvl w:val="0"/>
          <w:numId w:val="0"/>
        </w:numPr>
        <w:suppressLineNumbers w:val="0"/>
        <w:ind w:leftChars="0"/>
        <w:jc w:val="left"/>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 海外保护</w:t>
      </w:r>
    </w:p>
    <w:p>
      <w:pPr>
        <w:keepNext w:val="0"/>
        <w:keepLines w:val="0"/>
        <w:widowControl/>
        <w:suppressLineNumbers w:val="0"/>
        <w:jc w:val="center"/>
        <w:rPr>
          <w:rFonts w:hint="eastAsia" w:ascii="FZXiaoBiaoSong-B05S" w:hAnsi="FZXiaoBiaoSong-B05S" w:eastAsia="FZXiaoBiaoSong-B05S" w:cs="FZXiaoBiaoSong-B05S"/>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海外知识产权纠纷应对指导台州工作平台黄岩工作站揭牌</w:t>
      </w:r>
    </w:p>
    <w:p>
      <w:pPr>
        <w:keepNext w:val="0"/>
        <w:keepLines w:val="0"/>
        <w:widowControl/>
        <w:suppressLineNumbers w:val="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 xml:space="preserve">    4月24日，海外知识产权纠纷应对指导台州工作平台黄岩工作站揭牌成立，与国家知识产权局专利审查协作湖北中心签署合作协议。工作站将聚焦黄岩外贸企业需求，提供海外知识产权信息检索、风险预警、纠纷应对指导等专业服务，重点围绕塑料制品、模具等特色产业“走出去”过程中面临的知识产权挑战，建立海外知识产权纠纷监测和快速响应机制，为企业开拓海外市场保驾护航。</w:t>
      </w:r>
    </w:p>
    <w:p>
      <w:pPr>
        <w:keepNext w:val="0"/>
        <w:keepLines w:val="0"/>
        <w:widowControl/>
        <w:numPr>
          <w:ilvl w:val="0"/>
          <w:numId w:val="0"/>
        </w:numPr>
        <w:suppressLineNumbers w:val="0"/>
        <w:ind w:leftChars="0"/>
        <w:jc w:val="left"/>
        <w:rPr>
          <w:rFonts w:hint="eastAsia" w:ascii="仿宋_GB2312" w:hAnsi="仿宋_GB2312" w:eastAsia="仿宋_GB2312" w:cs="仿宋_GB2312"/>
          <w:b/>
          <w:bCs/>
          <w:color w:val="000000"/>
          <w:kern w:val="0"/>
          <w:sz w:val="31"/>
          <w:szCs w:val="31"/>
          <w:lang w:val="en-US" w:eastAsia="zh-CN" w:bidi="ar"/>
        </w:rPr>
      </w:pPr>
      <w:bookmarkStart w:id="0" w:name="_GoBack"/>
      <w:bookmarkEnd w:id="0"/>
      <w:r>
        <w:rPr>
          <w:rFonts w:hint="eastAsia" w:ascii="仿宋_GB2312" w:hAnsi="仿宋_GB2312" w:eastAsia="仿宋_GB2312" w:cs="仿宋_GB2312"/>
          <w:b/>
          <w:bCs/>
          <w:color w:val="000000"/>
          <w:kern w:val="0"/>
          <w:sz w:val="31"/>
          <w:szCs w:val="31"/>
          <w:lang w:val="en-US" w:eastAsia="zh-CN" w:bidi="ar"/>
        </w:rPr>
        <w:t>● 宣传培训</w:t>
      </w:r>
    </w:p>
    <w:p>
      <w:pPr>
        <w:keepNext w:val="0"/>
        <w:keepLines w:val="0"/>
        <w:widowControl/>
        <w:suppressLineNumbers w:val="0"/>
        <w:jc w:val="center"/>
        <w:rPr>
          <w:rFonts w:hint="eastAsia" w:ascii="FZXiaoBiaoSong-B05S" w:hAnsi="FZXiaoBiaoSong-B05S" w:eastAsia="FZXiaoBiaoSong-B05S" w:cs="FZXiaoBiaoSong-B05S"/>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深入浙东南智算经济产业园开展“AI智算”专项服务</w:t>
      </w:r>
    </w:p>
    <w:p>
      <w:pPr>
        <w:keepNext w:val="0"/>
        <w:keepLines w:val="0"/>
        <w:widowControl/>
        <w:numPr>
          <w:ilvl w:val="0"/>
          <w:numId w:val="0"/>
        </w:numPr>
        <w:suppressLineNumbers w:val="0"/>
        <w:ind w:leftChars="0" w:firstLine="620" w:firstLineChars="20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宣传周期间，中心紧扣“智算领航 守知拓新”主题，深入浙东南智算经济产业园开展知识产权服务进园区系列活动。针对园区内芯片半导体、人工智能企业密集、技术迭代快的特点，提出“软著确权、专利护核、商业秘密补充”三位一体防护思路，专题解读《浙江省人工智能领域数据知识产权登记申请指引（2025）》，以专业化、精准化服务赋能区域人工智能与数字经济高质量发展。</w:t>
      </w:r>
    </w:p>
    <w:p>
      <w:pPr>
        <w:keepNext w:val="0"/>
        <w:keepLines w:val="0"/>
        <w:widowControl/>
        <w:suppressLineNumbers w:val="0"/>
        <w:jc w:val="center"/>
        <w:rPr>
          <w:rFonts w:hint="eastAsia" w:ascii="FZXiaoBiaoSong-B05S" w:hAnsi="FZXiaoBiaoSong-B05S" w:eastAsia="FZXiaoBiaoSong-B05S" w:cs="FZXiaoBiaoSong-B05S"/>
          <w:color w:val="000000"/>
          <w:kern w:val="0"/>
          <w:sz w:val="31"/>
          <w:szCs w:val="31"/>
          <w:lang w:val="en-US" w:eastAsia="zh-CN" w:bidi="ar"/>
        </w:rPr>
      </w:pPr>
      <w:r>
        <w:rPr>
          <w:rFonts w:hint="eastAsia" w:ascii="FZXiaoBiaoSong-B05S" w:hAnsi="FZXiaoBiaoSong-B05S" w:eastAsia="FZXiaoBiaoSong-B05S" w:cs="FZXiaoBiaoSong-B05S"/>
          <w:color w:val="000000"/>
          <w:kern w:val="0"/>
          <w:sz w:val="31"/>
          <w:szCs w:val="31"/>
          <w:lang w:val="en-US" w:eastAsia="zh-CN" w:bidi="ar"/>
        </w:rPr>
        <w:t>开展知识产权进校园、进企业联动直播活动</w:t>
      </w:r>
    </w:p>
    <w:p>
      <w:pPr>
        <w:keepNext w:val="0"/>
        <w:keepLines w:val="0"/>
        <w:widowControl/>
        <w:numPr>
          <w:ilvl w:val="0"/>
          <w:numId w:val="0"/>
        </w:numPr>
        <w:suppressLineNumbers w:val="0"/>
        <w:ind w:leftChars="0" w:firstLine="620" w:firstLineChars="200"/>
        <w:jc w:val="left"/>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4月21日，中心联合区检察院开展线上直播访谈，解读知识产权刑事案件民事维权快速处理机制。宣传周期间，中心还开展知识产权进校园、进企业联动直播活动，有效扩大知识产权宣传覆盖面，营造尊重创新、保护知识产权的良好社会氛围。</w:t>
      </w:r>
    </w:p>
    <w:p>
      <w:pPr>
        <w:keepNext w:val="0"/>
        <w:keepLines w:val="0"/>
        <w:widowControl/>
        <w:numPr>
          <w:ilvl w:val="0"/>
          <w:numId w:val="0"/>
        </w:numPr>
        <w:suppressLineNumbers w:val="0"/>
        <w:ind w:leftChars="0"/>
        <w:jc w:val="left"/>
        <w:rPr>
          <w:rFonts w:hint="eastAsia" w:ascii="仿宋_GB2312" w:hAnsi="仿宋_GB2312" w:eastAsia="仿宋_GB2312" w:cs="仿宋_GB2312"/>
          <w:b/>
          <w:bCs/>
          <w:color w:val="000000"/>
          <w:kern w:val="0"/>
          <w:sz w:val="31"/>
          <w:szCs w:val="31"/>
          <w:lang w:val="en-US" w:eastAsia="zh-CN" w:bidi="ar"/>
        </w:rPr>
      </w:pPr>
    </w:p>
    <w:p>
      <w:pPr>
        <w:keepNext w:val="0"/>
        <w:keepLines w:val="0"/>
        <w:widowControl/>
        <w:numPr>
          <w:ilvl w:val="0"/>
          <w:numId w:val="0"/>
        </w:numPr>
        <w:suppressLineNumbers w:val="0"/>
        <w:ind w:leftChars="0"/>
        <w:jc w:val="left"/>
        <w:rPr>
          <w:rFonts w:hint="default"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-要闻速览</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1-2月：总结表彰，提质增效</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2月2日，黄岩快维中心2025年度专利预审授权量跻身全国第五，全年受理预审申请1293件，授权1037件，外观设计专利授权周期压缩至平均5个工作日以内，累计服务备案企业258家。2月4日，中心举办备案主体、代理机构交流会暨2025年度分级分类颁奖仪式，表彰10家A+级备案主体和5家A+级代理机构；同日，成功运用“调解促和、购转授权”模式化解“折叠水勺”外观设计专利侵权纠纷，创新推出“赔偿+转化+合作”三位一体调解方案，引导被申请人从“侵权销售者”转变为“合法被授权销售者”。</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4月：调研指导，协同保护</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4月1日，浙江省市场监管局副局长顾文海一行莅临中心调研，对中心聚焦塑料制品产业、构建全链条服务体系给予充分肯定。4月17日，中心与上海奉贤（化妆品）快维中心签署《知识产权合作框架协议》，建立经验交流共享、维权跨域互助、制度创新合作、协作互认共享四大工作机制。宣传周期间，4月21日联合区检察院开展线上直播访谈，解读知识产权刑事案件民事维权快速处理机制；4月23日深入浙东南智算经济产业园举办人工智能领域专利布局宣讲活动；4月24日揭牌成立海外知识产权纠纷应对指导台州工作平台黄岩工作站；4月24日“黄岩区知识产权纠纷调解工作站”在中心揭牌，构建“司法确认、行政调解、行业指导”三位一体协同保护格局。</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5-6月：平台升级，服务深化</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eastAsia" w:ascii="仿宋_GB2312" w:hAnsi="仿宋_GB2312" w:eastAsia="仿宋_GB2312" w:cs="仿宋_GB2312"/>
          <w:b w:val="0"/>
          <w:bCs w:val="0"/>
          <w:color w:val="000000"/>
          <w:kern w:val="0"/>
          <w:sz w:val="31"/>
          <w:szCs w:val="31"/>
          <w:lang w:val="en-US" w:eastAsia="zh-CN" w:bidi="ar"/>
        </w:rPr>
      </w:pPr>
      <w:r>
        <w:rPr>
          <w:rFonts w:hint="eastAsia" w:ascii="仿宋_GB2312" w:hAnsi="仿宋_GB2312" w:eastAsia="仿宋_GB2312" w:cs="仿宋_GB2312"/>
          <w:b w:val="0"/>
          <w:bCs w:val="0"/>
          <w:color w:val="000000"/>
          <w:kern w:val="0"/>
          <w:sz w:val="31"/>
          <w:szCs w:val="31"/>
          <w:lang w:val="en-US" w:eastAsia="zh-CN" w:bidi="ar"/>
        </w:rPr>
        <w:t>5月，中心持续深化三位一体协同保护机制运行，推进知识产权纠纷调解工作站案件快移、纠纷快调、风险快防。6月4日，中心联合“宁智汇”数字经济产业线上一站式服务平台正式上线“知识产权”菜单，下设专利申请、数据知识产权登记、专利维权三大核心模块，覆盖全生命周期服务。</w:t>
      </w:r>
    </w:p>
    <w:p>
      <w:pPr>
        <w:keepNext w:val="0"/>
        <w:keepLines w:val="0"/>
        <w:widowControl/>
        <w:numPr>
          <w:ilvl w:val="0"/>
          <w:numId w:val="0"/>
        </w:numPr>
        <w:suppressLineNumbers w:val="0"/>
        <w:ind w:leftChars="0"/>
        <w:jc w:val="left"/>
        <w:rPr>
          <w:rFonts w:hint="eastAsia" w:ascii="仿宋_GB2312" w:hAnsi="仿宋_GB2312" w:eastAsia="仿宋_GB2312" w:cs="仿宋_GB2312"/>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三、典型案例专栏</w:t>
      </w:r>
    </w:p>
    <w:p>
      <w:pPr>
        <w:pStyle w:val="2"/>
        <w:keepNext w:val="0"/>
        <w:keepLines w:val="0"/>
        <w:widowControl/>
        <w:suppressLineNumbers w:val="0"/>
        <w:shd w:val="clear" w:color="auto" w:fill="FFFFFF"/>
        <w:spacing w:before="240" w:beforeAutospacing="0" w:after="240" w:afterAutospacing="0"/>
        <w:ind w:left="0" w:right="0" w:firstLine="0"/>
        <w:jc w:val="center"/>
        <w:rPr>
          <w:rFonts w:hint="default" w:ascii="FZXiaoBiaoSong-B05S" w:hAnsi="FZXiaoBiaoSong-B05S" w:eastAsia="FZXiaoBiaoSong-B05S" w:cs="FZXiaoBiaoSong-B05S"/>
          <w:color w:val="000000"/>
          <w:kern w:val="0"/>
          <w:sz w:val="31"/>
          <w:szCs w:val="31"/>
          <w:lang w:val="en-US" w:eastAsia="zh-CN" w:bidi="ar"/>
        </w:rPr>
      </w:pPr>
      <w:r>
        <w:rPr>
          <w:rFonts w:hint="default" w:ascii="FZXiaoBiaoSong-B05S" w:hAnsi="FZXiaoBiaoSong-B05S" w:eastAsia="FZXiaoBiaoSong-B05S" w:cs="FZXiaoBiaoSong-B05S"/>
          <w:color w:val="000000"/>
          <w:kern w:val="0"/>
          <w:sz w:val="31"/>
          <w:szCs w:val="31"/>
          <w:lang w:val="en-US" w:eastAsia="zh-CN" w:bidi="ar"/>
        </w:rPr>
        <w:t>黄岩快维中心“四方联调”化解海外知名商标侵权案</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近期，黄岩快维中心联合区市场监管局、区人民法院、区公安分局，成功办结樱花卫厨“樱花”商标侵权系列案。该案共化解7起侵权纠纷，促成赔偿金额4.2万元，并出具黄岩区首份商标维权咨询指导意见书，以协同共治筑牢品牌保护防线。</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一是集中维权，破解商标侵权难题。本次系列案件由樱花卫厨（中国）股份有限公司针对辖区内7家五金、卫浴、装潢材料经营主体提起商标侵权诉讼，涉案主体多、分布广、处置难度较大，黄岩快维中心联合多部门对涉案主题进行走访固证，开展调解。</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二是四方联调，实现现场高效化解。黄岩快维中心依托黄岩区知识产权保护联盟协同保护机制，创新推行“四方联调·速护品牌”协同保护模式。经调解，7名被告均认识到侵权错误，自愿停止侵权并履行赔付，所有案件当场调解、当场履行，矛盾就地化解。同时出具全区首份商标维权咨询指导意见书，为同类案件提供标准化参考。</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三是实效为先，推动产业创新生态。此次系列案是行政与司法协同保护知识产权的生动实践，既高效维护企业合法权益、挽回经济损失，中心联合电器市场管理方开展普法教育，告知商户销售侵权产品的法律风险，引导小微经营者增强商标保护意识，实现法律效果与社会效果有机统一。</w:t>
      </w:r>
    </w:p>
    <w:p>
      <w:pPr>
        <w:keepNext w:val="0"/>
        <w:keepLines w:val="0"/>
        <w:widowControl w:val="0"/>
        <w:numPr>
          <w:ilvl w:val="0"/>
          <w:numId w:val="0"/>
        </w:numPr>
        <w:suppressLineNumbers w:val="0"/>
        <w:spacing w:before="0" w:beforeAutospacing="0" w:after="0" w:afterAutospacing="0"/>
        <w:ind w:right="0"/>
        <w:jc w:val="center"/>
        <w:rPr>
          <w:rFonts w:hint="default" w:ascii="FZXiaoBiaoSong-B05S" w:hAnsi="FZXiaoBiaoSong-B05S" w:eastAsia="FZXiaoBiaoSong-B05S" w:cs="FZXiaoBiaoSong-B05S"/>
          <w:color w:val="000000"/>
          <w:kern w:val="0"/>
          <w:sz w:val="31"/>
          <w:szCs w:val="31"/>
          <w:lang w:val="en-US" w:eastAsia="zh-CN" w:bidi="ar"/>
        </w:rPr>
      </w:pPr>
      <w:r>
        <w:rPr>
          <w:rFonts w:hint="default" w:ascii="FZXiaoBiaoSong-B05S" w:hAnsi="FZXiaoBiaoSong-B05S" w:eastAsia="FZXiaoBiaoSong-B05S" w:cs="FZXiaoBiaoSong-B05S"/>
          <w:color w:val="000000"/>
          <w:kern w:val="0"/>
          <w:sz w:val="31"/>
          <w:szCs w:val="31"/>
          <w:lang w:val="en-US" w:eastAsia="zh-CN" w:bidi="ar"/>
        </w:rPr>
        <w:t>黄岩快维中心“调解促和、购转授权”化解专利侵权纠纷</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一、基本案情</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专利权人赵辉发现台州市佰沃塑业有限公司在阿里巴巴平台店铺中销售涉嫌侵犯其外观设计专利（专利号：ZL202030168651.8）的“折叠水勺”产品，遂向黄岩快维中心提起调解申请，要求停止侵权并赔偿损失。</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二、经验做法</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一快速响应与专业介入，搭建高效调解平台。黄岩快维中心在收到调解申请后，迅速启动纠纷快速处理机制。基于清晰的事实，联合组建由中心调解员、人民调解员、法院工作人员组成的调解小组，组织双方沟通，为后续协商奠定了权威、可信的基础。</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二创新“赔偿+转化+合作”三位一体调解方案，引导实质解纷。中心调解员在准确认定侵权事实的基础上，深入分析双方诉求，达成多层次、建设性的和解协议。其一，侵权制止与损害赔偿，并支付5000元作为对既往侵权行为的赔偿；其二，行为转化与正向合作，引导被申请人向申请人采购价值10000元的正版专利产品，使其从“侵权销售者”转变为“合法被授权销售者”。</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三是强化程序闭环管理，确保调解成果落地。在程序衔接上，协议明确将调解结果与已有司法程序挂钩，并依托中心与法院工作机制联系，进行司法确认，确保法律效益，增强协议的权威性与可信度。</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eastAsia" w:ascii="仿宋_GB2312" w:hAnsi="仿宋_GB2312" w:eastAsia="仿宋_GB2312" w:cs="仿宋_GB2312"/>
          <w:b/>
          <w:bCs/>
          <w:color w:val="000000"/>
          <w:kern w:val="0"/>
          <w:sz w:val="31"/>
          <w:szCs w:val="31"/>
          <w:lang w:val="en-US" w:eastAsia="zh-CN" w:bidi="ar"/>
        </w:rPr>
      </w:pPr>
      <w:r>
        <w:rPr>
          <w:rFonts w:hint="eastAsia" w:ascii="仿宋_GB2312" w:hAnsi="仿宋_GB2312" w:eastAsia="仿宋_GB2312" w:cs="仿宋_GB2312"/>
          <w:b/>
          <w:bCs/>
          <w:color w:val="000000"/>
          <w:kern w:val="0"/>
          <w:sz w:val="31"/>
          <w:szCs w:val="31"/>
          <w:lang w:val="en-US" w:eastAsia="zh-CN" w:bidi="ar"/>
        </w:rPr>
        <w:t>三、典型意义</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本案体现了“调解优先、多元解纷”的实效性，通过平台调解快速化解纠纷+司法协作确保法律效益，为中小企业提供了高效、低成本的维权路径。探索“侵权转合作”的新型解纷模式通过引导侵权方采购正品，转为合法销售，实现了“惩罚与疏导相结合”。</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eastAsia" w:ascii="仿宋_GB2312" w:hAnsi="仿宋_GB2312" w:eastAsia="仿宋_GB2312" w:cs="仿宋_GB2312"/>
          <w:color w:val="000000"/>
          <w:kern w:val="0"/>
          <w:sz w:val="31"/>
          <w:szCs w:val="31"/>
          <w:lang w:val="en-US" w:eastAsia="zh-CN" w:bidi="ar"/>
        </w:rPr>
      </w:pPr>
    </w:p>
    <w:p>
      <w:pPr>
        <w:keepNext w:val="0"/>
        <w:keepLines w:val="0"/>
        <w:widowControl/>
        <w:numPr>
          <w:ilvl w:val="0"/>
          <w:numId w:val="0"/>
        </w:numPr>
        <w:suppressLineNumbers w:val="0"/>
        <w:jc w:val="left"/>
        <w:rPr>
          <w:rFonts w:hint="eastAsia" w:ascii="仿宋_GB2312" w:hAnsi="仿宋_GB2312" w:eastAsia="仿宋_GB2312" w:cs="仿宋_GB2312"/>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四、经验做法分享</w:t>
      </w:r>
    </w:p>
    <w:p>
      <w:pPr>
        <w:pStyle w:val="2"/>
        <w:keepNext w:val="0"/>
        <w:keepLines w:val="0"/>
        <w:widowControl/>
        <w:suppressLineNumbers w:val="0"/>
        <w:shd w:val="clear" w:color="auto" w:fill="FFFFFF"/>
        <w:spacing w:before="240" w:beforeAutospacing="0" w:after="240" w:afterAutospacing="0"/>
        <w:ind w:left="0" w:right="0" w:firstLine="0"/>
        <w:jc w:val="center"/>
        <w:rPr>
          <w:rFonts w:hint="default" w:ascii="FZXiaoBiaoSong-B05S" w:hAnsi="FZXiaoBiaoSong-B05S" w:eastAsia="FZXiaoBiaoSong-B05S" w:cs="FZXiaoBiaoSong-B05S"/>
          <w:color w:val="000000"/>
          <w:kern w:val="0"/>
          <w:sz w:val="31"/>
          <w:szCs w:val="31"/>
          <w:lang w:val="en-US" w:eastAsia="zh-CN" w:bidi="ar"/>
        </w:rPr>
      </w:pPr>
      <w:r>
        <w:rPr>
          <w:rFonts w:hint="default" w:ascii="FZXiaoBiaoSong-B05S" w:hAnsi="FZXiaoBiaoSong-B05S" w:eastAsia="FZXiaoBiaoSong-B05S" w:cs="FZXiaoBiaoSong-B05S"/>
          <w:color w:val="000000"/>
          <w:kern w:val="0"/>
          <w:sz w:val="31"/>
          <w:szCs w:val="31"/>
          <w:lang w:val="en-US" w:eastAsia="zh-CN" w:bidi="ar"/>
        </w:rPr>
        <w:t>构建多维度分级分类体系，激发企业创新活力</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为提升服务效能、优化资源配置、精准激发企业创新活力，黄岩快维中心积极探索并实施了针对备案主体与专利代理机构的多维度分级分类评价体系，取得了阶段性成效。</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一是科学构建评价体系，推动服务从“普适化”向“精准化”转型。面对备案主体与代理机构数量多、差异大的现实情况，建立差异化评价指标体系。对备案主体，重点考察其专利申请量、预审通过率、高价值专利占比、知识产权运用能力及合规记录；对代理机构，则聚焦其代理质量、服务效率、信用状况与行业贡献。</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二是实施动态分级管理，实现资源从“平均分配”到“高效配置”提升。中心根据评价结果实施动态管理机制，推动服务资源向创新活跃度高、信用良好的主体倾斜。对A+级企业与代理机构，提供“一企一策”服务，并鼓励其参与重点项目与行业共建；对A级主体，给予快速响应、定向培训与资源推介支持；对B级C级主体，则侧重政策普及、基础咨询与合规指导。同时，中心每半年开展复评，根据主体发展情况调整级别，形成“以评促建、以评促优”的引导效应。</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三是强化结果协同运用，助力创新生态从“单点服务”到“系统赋能”演进。中心将评价结果与政策扶持、金融对接、人才培训等多方面工作协同联动。组织A级以上代理机构参与公益培训与行业交流，提升区域服务整体水平。此外，已有多家B、C级主体经辅导后升级，区域企业创新意识与能力显著增强。</w:t>
      </w:r>
    </w:p>
    <w:p>
      <w:pPr>
        <w:pStyle w:val="2"/>
        <w:keepNext w:val="0"/>
        <w:keepLines w:val="0"/>
        <w:widowControl/>
        <w:suppressLineNumbers w:val="0"/>
        <w:shd w:val="clear" w:color="auto" w:fill="FFFFFF"/>
        <w:spacing w:before="240" w:beforeAutospacing="0" w:after="240" w:afterAutospacing="0"/>
        <w:ind w:left="0" w:right="0" w:firstLine="0"/>
        <w:jc w:val="center"/>
        <w:rPr>
          <w:rFonts w:hint="default" w:ascii="FZXiaoBiaoSong-B05S" w:hAnsi="FZXiaoBiaoSong-B05S" w:eastAsia="FZXiaoBiaoSong-B05S" w:cs="FZXiaoBiaoSong-B05S"/>
          <w:color w:val="000000"/>
          <w:kern w:val="0"/>
          <w:sz w:val="31"/>
          <w:szCs w:val="31"/>
          <w:lang w:val="en-US" w:eastAsia="zh-CN" w:bidi="ar"/>
        </w:rPr>
      </w:pPr>
      <w:r>
        <w:rPr>
          <w:rFonts w:hint="default" w:ascii="FZXiaoBiaoSong-B05S" w:hAnsi="FZXiaoBiaoSong-B05S" w:eastAsia="FZXiaoBiaoSong-B05S" w:cs="FZXiaoBiaoSong-B05S"/>
          <w:color w:val="000000"/>
          <w:kern w:val="0"/>
          <w:sz w:val="31"/>
          <w:szCs w:val="31"/>
          <w:lang w:val="en-US" w:eastAsia="zh-CN" w:bidi="ar"/>
        </w:rPr>
        <w:t>黄岩快维中心开展“AI智算”领域专项服务</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台州黄岩（塑料制品）知识产权快速维权中心紧扣“智算领航 守知拓新”主题，深入浙东南智算经济产业园，开展知识产权服务进园区系列活动，以专业化、精准化服务赋能区域人工智能与数字经济高质量发展。</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一是聚焦核心需求，构建“三位一体”保护策略。</w:t>
      </w:r>
      <w:r>
        <w:rPr>
          <w:rFonts w:hint="default" w:ascii="仿宋_GB2312" w:hAnsi="仿宋_GB2312" w:eastAsia="仿宋_GB2312" w:cs="仿宋_GB2312"/>
          <w:color w:val="000000"/>
          <w:kern w:val="0"/>
          <w:sz w:val="31"/>
          <w:szCs w:val="31"/>
          <w:lang w:val="en-US" w:eastAsia="zh-CN" w:bidi="ar"/>
        </w:rPr>
        <w:t> 针对园区内芯片半导体、人工智能企业密集、技术迭代快的特点，中心摒弃单一服务模式，开展组合保护策略宣讲。提出“软著确权、专利护核、商业秘密补充”的三位一体防护思路，重点围绕核心算法、算力架构及工业软件创新，详细讲解专利撰写要点，帮助企业精准区分软硬件保护客体，厘清权利边界。</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二是畅通确权通道，以“快保护”匹配创新速度。</w:t>
      </w:r>
      <w:r>
        <w:rPr>
          <w:rFonts w:hint="default" w:ascii="仿宋_GB2312" w:hAnsi="仿宋_GB2312" w:eastAsia="仿宋_GB2312" w:cs="仿宋_GB2312"/>
          <w:color w:val="000000"/>
          <w:kern w:val="0"/>
          <w:sz w:val="31"/>
          <w:szCs w:val="31"/>
          <w:lang w:val="en-US" w:eastAsia="zh-CN" w:bidi="ar"/>
        </w:rPr>
        <w:t>中心专题宣讲专利预审机制，通过介绍预审备案流程、前置审查要点，指导企业利用快速通道大幅缩短确权周期，力求让高价值专利快速获得法律保护，实现“技术研发”与“产权确权”同频共振，以知识产权“快保护”跑赢市场“快迭代”。</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三是紧跟政策热点，推动数据知产从制度走向实践。</w:t>
      </w:r>
      <w:r>
        <w:rPr>
          <w:rFonts w:hint="default" w:ascii="仿宋_GB2312" w:hAnsi="仿宋_GB2312" w:eastAsia="仿宋_GB2312" w:cs="仿宋_GB2312"/>
          <w:color w:val="000000"/>
          <w:kern w:val="0"/>
          <w:sz w:val="31"/>
          <w:szCs w:val="31"/>
          <w:lang w:val="en-US" w:eastAsia="zh-CN" w:bidi="ar"/>
        </w:rPr>
        <w:t> 聚焦数据要素市场化配置这一前沿热点，中心专题解读《浙江省人工智能领域数据知识产权登记申请指引（2025）》。结合“低空经济巡检数据”“医疗病症筛查数据”等实务案例，系统梳理申请名称、应用场景、数据来源及算法规则等审查要点，并针对数据规模与合规要求进行风险提示。通过“手把手”的实务指导，有效打通了惠企政策落地的“最后一公里”，引导企业盘活数据资产价值。</w:t>
      </w:r>
    </w:p>
    <w:p>
      <w:pPr>
        <w:pStyle w:val="2"/>
        <w:keepNext w:val="0"/>
        <w:keepLines w:val="0"/>
        <w:widowControl/>
        <w:suppressLineNumbers w:val="0"/>
        <w:shd w:val="clear" w:color="auto" w:fill="FFFFFF"/>
        <w:spacing w:before="240" w:beforeAutospacing="0" w:after="240" w:afterAutospacing="0"/>
        <w:ind w:left="0" w:right="0" w:firstLine="0"/>
        <w:jc w:val="center"/>
        <w:rPr>
          <w:rFonts w:hint="default" w:ascii="仿宋_GB2312" w:hAnsi="仿宋_GB2312" w:eastAsia="仿宋_GB2312" w:cs="仿宋_GB2312"/>
          <w:color w:val="000000"/>
          <w:kern w:val="0"/>
          <w:sz w:val="31"/>
          <w:szCs w:val="31"/>
          <w:lang w:val="en-US" w:eastAsia="zh-CN" w:bidi="ar"/>
        </w:rPr>
      </w:pPr>
      <w:r>
        <w:rPr>
          <w:rFonts w:hint="default" w:ascii="FZXiaoBiaoSong-B05S" w:hAnsi="FZXiaoBiaoSong-B05S" w:eastAsia="FZXiaoBiaoSong-B05S" w:cs="FZXiaoBiaoSong-B05S"/>
          <w:color w:val="000000"/>
          <w:kern w:val="0"/>
          <w:sz w:val="31"/>
          <w:szCs w:val="31"/>
          <w:lang w:val="en-US" w:eastAsia="zh-CN" w:bidi="ar"/>
        </w:rPr>
        <w:t>黄岩快维中心推动数据知识产权转化运用 赋能塑料制品产业发展</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黄岩快维中心深度参与数据知识产权审查、指导、运用全流程。目前全区数据知识产权登记量突破450件，2家企业通过数据知识产权获得增信融资1.2亿元，初步构建起“数据驱动产业、知识产权赋能发展”的良好生态。</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b/>
          <w:bCs/>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一、锚定产业需求，推动工作落地见效</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黄岩快维中心工作人员受聘为全省首批数据知识产权审查员，深入企业提供“一对一”指导，协助企业挖掘数据价值、规划知识产权布局。同时搭建企业与金融机构对接桥梁，推动数据知识产权质押融资落地，助力企业将数据资产转化为发展资本。</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b/>
          <w:bCs/>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二、深挖应用场景，打造标杆示范案例</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由黄岩区市场监管局和快维中心推荐的“渔业船舶污染物回收信用评价数据”项目，在首届“数知通杯”大赛中荣获三等奖。该项目依托“海洋云仓”智能装备及物联网网络，构建覆盖约1.3万艘渔船的纳污数据网络，运用“纳污间隔+入港频次”双因子算法，实现渔船纳污行为智能评分与精细化管理。运行以来，船舶纳污率提升至95%以上，治理成本降低60%。其支撑的“蓝色循环”治理模式荣获联合国“地球卫士”奖，成为数据知识产权赋能绿色发展的生动实践。</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b/>
          <w:bCs/>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三、强化科技赋能，构建智能服务体系</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上线知识产权一站式服务平台，整合模具指数、政策资源及塑模行业全维度数据，实现服务“一站集成、一键直达”，已覆盖1800余家企业。搭建“知识产权数据服务云平台”，并构建风险监测预警体系，动态监控数据流动与使用，助力企业防范化解知识产权纠纷。</w:t>
      </w:r>
    </w:p>
    <w:p>
      <w:pPr>
        <w:pStyle w:val="2"/>
        <w:keepNext w:val="0"/>
        <w:keepLines w:val="0"/>
        <w:widowControl/>
        <w:suppressLineNumbers w:val="0"/>
        <w:shd w:val="clear" w:color="auto" w:fill="FFFFFF"/>
        <w:spacing w:before="240" w:beforeAutospacing="0" w:after="240" w:afterAutospacing="0"/>
        <w:ind w:left="0" w:right="0" w:firstLine="0"/>
        <w:jc w:val="center"/>
        <w:rPr>
          <w:rFonts w:hint="default" w:ascii="FZXiaoBiaoSong-B05S" w:hAnsi="FZXiaoBiaoSong-B05S" w:eastAsia="FZXiaoBiaoSong-B05S" w:cs="FZXiaoBiaoSong-B05S"/>
          <w:color w:val="000000"/>
          <w:kern w:val="0"/>
          <w:sz w:val="31"/>
          <w:szCs w:val="31"/>
          <w:lang w:val="en-US" w:eastAsia="zh-CN" w:bidi="ar"/>
        </w:rPr>
      </w:pPr>
      <w:r>
        <w:rPr>
          <w:rFonts w:hint="default" w:ascii="FZXiaoBiaoSong-B05S" w:hAnsi="FZXiaoBiaoSong-B05S" w:eastAsia="FZXiaoBiaoSong-B05S" w:cs="FZXiaoBiaoSong-B05S"/>
          <w:color w:val="000000"/>
          <w:kern w:val="0"/>
          <w:sz w:val="31"/>
          <w:szCs w:val="31"/>
          <w:lang w:val="en-US" w:eastAsia="zh-CN" w:bidi="ar"/>
        </w:rPr>
        <w:t>黄岩快维中心“法院委派—中心调解—司法确认”全链路模式助企高效维权</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黄岩快维中心依托与台州市中级人民法院签订的知识产权协同保护战略合作框架协议，创新建立“部门总对总”全链路调解模式，形成“法院委派—中心调解—司法确认”的闭环案件处理机制。</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b/>
          <w:bCs/>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一、构建“法院委派—中心调解—司法确认”闭环通道，实现纠纷化解“零延迟”</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近日原告孙红发现被告台州市黄岩达利美塑料厂生产、销售的肥皂盒产品，在整体造型、细节线条设计等方面与自己的外观设计高度相似，涉嫌构成专利侵权，遂向台州市中级人民法院提起诉讼。案件受理当天即完成登记与调解员指派，实现纠纷流转“零时差”。中心与法院建立常态化沟通联络机制，实时反馈案件进展，确保调解与司法程序无缝衔接，从制度层面保障纠纷高效化解。</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b/>
          <w:bCs/>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二、以“技术比对+产业洞察”双轮驱动，夯实调解事实“硬支撑”</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调解员坚持专业先行，开展全方位案件核查。一是精准核实权利基础，通过国家知识产权局专利检索系统确认涉案专利有效且权利稳定。二是精细开展实物比对，围绕整体造型、笑脸图案布局、细节线条设计等核心设计要素，逐一比对认定涉案产品与专利设计的高度相似性。三是深入分析产业特点，通过实物比对、产品设计特征分析核实被告生产销售的涉案产品与原告专利设计的相同点与近似点，为切实化解双方矛盾，调解员分别与原被告进行面对面多沟通。</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b/>
          <w:bCs/>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三、推动“赔偿+销毁”双落实，源头斩断实现侵权“零容忍”</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调解员在查明事实的基础上，分别与双方当事人开展多轮面对面沟通，精准把握双方诉求。对原告，分析诉讼周期与执行成本，引导其合理设定赔偿预期；对被告，释明侵权法律责任与企业信誉风险，引导其正视事实、主动担责。最终双方于立案后9日内达成调解协议：被告立即停止生产、销售侵权产品，一次性支付赔偿金1万元，并在三方共同见证下对库存侵权产品进行现场销毁，从源头上杜绝侵权产品流入市场。协议经司法确认后赋予强制执行力，确保调解成果落地见效。</w:t>
      </w:r>
    </w:p>
    <w:p>
      <w:pPr>
        <w:pStyle w:val="2"/>
        <w:keepNext w:val="0"/>
        <w:keepLines w:val="0"/>
        <w:widowControl/>
        <w:suppressLineNumbers w:val="0"/>
        <w:shd w:val="clear" w:color="auto" w:fill="FFFFFF"/>
        <w:spacing w:before="240" w:beforeAutospacing="0" w:after="240" w:afterAutospacing="0"/>
        <w:ind w:left="0" w:right="0" w:firstLine="0"/>
        <w:jc w:val="center"/>
        <w:rPr>
          <w:rFonts w:hint="default" w:ascii="FZXiaoBiaoSong-B05S" w:hAnsi="FZXiaoBiaoSong-B05S" w:eastAsia="FZXiaoBiaoSong-B05S" w:cs="FZXiaoBiaoSong-B05S"/>
          <w:color w:val="000000"/>
          <w:kern w:val="0"/>
          <w:sz w:val="31"/>
          <w:szCs w:val="31"/>
          <w:lang w:val="en-US" w:eastAsia="zh-CN" w:bidi="ar"/>
        </w:rPr>
      </w:pPr>
      <w:r>
        <w:rPr>
          <w:rFonts w:hint="default" w:ascii="FZXiaoBiaoSong-B05S" w:hAnsi="FZXiaoBiaoSong-B05S" w:eastAsia="FZXiaoBiaoSong-B05S" w:cs="FZXiaoBiaoSong-B05S"/>
          <w:color w:val="000000"/>
          <w:kern w:val="0"/>
          <w:sz w:val="31"/>
          <w:szCs w:val="31"/>
          <w:lang w:val="en-US" w:eastAsia="zh-CN" w:bidi="ar"/>
        </w:rPr>
        <w:t>黄岩快维中心打造“三个联盟” 推动塑料制品产业发展</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近年来，黄岩区立足塑料制品产业基础，创新构建三大知识产权协同保护联盟，推动全链条提升，有力推动塑料制品产业向高端化、智能化、品牌化转型。</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一是建强区级保护联盟，构建跨部门协同格局。</w:t>
      </w:r>
      <w:r>
        <w:rPr>
          <w:rFonts w:hint="default" w:ascii="仿宋_GB2312" w:hAnsi="仿宋_GB2312" w:eastAsia="仿宋_GB2312" w:cs="仿宋_GB2312"/>
          <w:color w:val="000000"/>
          <w:kern w:val="0"/>
          <w:sz w:val="31"/>
          <w:szCs w:val="31"/>
          <w:lang w:val="en-US" w:eastAsia="zh-CN" w:bidi="ar"/>
        </w:rPr>
        <w:t> 整合10家单位成立联盟，建立联动机制。快速响应侵权线索，2025年破获涉案1.5亿元假冒轮毂案，实现全链条打击。联合调解高效化解纠纷，“悦刻”商标侵权系列案件7天完成调解及司法确认。实行联席会议、线索管理和“法治体检”等长效机制。</w:t>
      </w:r>
      <w:r>
        <w:rPr>
          <w:rFonts w:hint="default" w:ascii="仿宋_GB2312" w:hAnsi="仿宋_GB2312" w:eastAsia="仿宋_GB2312" w:cs="仿宋_GB2312"/>
          <w:b/>
          <w:bCs/>
          <w:color w:val="000000"/>
          <w:kern w:val="0"/>
          <w:sz w:val="31"/>
          <w:szCs w:val="31"/>
          <w:lang w:val="en-US" w:eastAsia="zh-CN" w:bidi="ar"/>
        </w:rPr>
        <w:t>二是建实快维中心联盟，打造跨区域协同新高地。 </w:t>
      </w:r>
      <w:r>
        <w:rPr>
          <w:rFonts w:hint="default" w:ascii="仿宋_GB2312" w:hAnsi="仿宋_GB2312" w:eastAsia="仿宋_GB2312" w:cs="仿宋_GB2312"/>
          <w:color w:val="000000"/>
          <w:kern w:val="0"/>
          <w:sz w:val="31"/>
          <w:szCs w:val="31"/>
          <w:lang w:val="en-US" w:eastAsia="zh-CN" w:bidi="ar"/>
        </w:rPr>
        <w:t>联合义乌、霸州、余姚三地快维中心，建立协同保护机制。统一案源登记标准，跨区域线索2个工作日内移交，共建知识产权数据库和专家库，7个工作日内出具侵权判定意见。</w:t>
      </w:r>
      <w:r>
        <w:rPr>
          <w:rFonts w:hint="default" w:ascii="仿宋_GB2312" w:hAnsi="仿宋_GB2312" w:eastAsia="仿宋_GB2312" w:cs="仿宋_GB2312"/>
          <w:b/>
          <w:bCs/>
          <w:color w:val="000000"/>
          <w:kern w:val="0"/>
          <w:sz w:val="31"/>
          <w:szCs w:val="31"/>
          <w:lang w:val="en-US" w:eastAsia="zh-CN" w:bidi="ar"/>
        </w:rPr>
        <w:t>三是激活模塑产业联盟，推动行业自律与协同创新。 </w:t>
      </w:r>
      <w:r>
        <w:rPr>
          <w:rFonts w:hint="default" w:ascii="仿宋_GB2312" w:hAnsi="仿宋_GB2312" w:eastAsia="仿宋_GB2312" w:cs="仿宋_GB2312"/>
          <w:color w:val="000000"/>
          <w:kern w:val="0"/>
          <w:sz w:val="31"/>
          <w:szCs w:val="31"/>
          <w:lang w:val="en-US" w:eastAsia="zh-CN" w:bidi="ar"/>
        </w:rPr>
        <w:t>组建省级模塑产业联盟，吸纳50家成员。建成4个专业及2个综合专利池，累计专利许可备案529件次，转化专利28件。常态化开展专利导航，发布报告7篇，参与制修订国家标准11个、行业标准1个。强化产学研协同，成员申请专利80余件，知识产权质押融资超18亿元。</w:t>
      </w:r>
    </w:p>
    <w:p>
      <w:pPr>
        <w:pStyle w:val="2"/>
        <w:keepNext w:val="0"/>
        <w:keepLines w:val="0"/>
        <w:widowControl/>
        <w:suppressLineNumbers w:val="0"/>
        <w:shd w:val="clear" w:color="auto" w:fill="FFFFFF"/>
        <w:spacing w:before="240" w:beforeAutospacing="0" w:after="240" w:afterAutospacing="0"/>
        <w:ind w:left="0" w:right="0" w:firstLine="0"/>
        <w:jc w:val="center"/>
        <w:rPr>
          <w:rFonts w:hint="default" w:ascii="FZXiaoBiaoSong-B05S" w:hAnsi="FZXiaoBiaoSong-B05S" w:eastAsia="FZXiaoBiaoSong-B05S" w:cs="FZXiaoBiaoSong-B05S"/>
          <w:color w:val="000000"/>
          <w:kern w:val="0"/>
          <w:sz w:val="31"/>
          <w:szCs w:val="31"/>
          <w:lang w:val="en-US" w:eastAsia="zh-CN" w:bidi="ar"/>
        </w:rPr>
      </w:pPr>
      <w:r>
        <w:rPr>
          <w:rFonts w:hint="default" w:ascii="FZXiaoBiaoSong-B05S" w:hAnsi="FZXiaoBiaoSong-B05S" w:eastAsia="FZXiaoBiaoSong-B05S" w:cs="FZXiaoBiaoSong-B05S"/>
          <w:color w:val="000000"/>
          <w:kern w:val="0"/>
          <w:sz w:val="31"/>
          <w:szCs w:val="31"/>
          <w:lang w:val="en-US" w:eastAsia="zh-CN" w:bidi="ar"/>
        </w:rPr>
        <w:t>黄岩快维中心以“三个平台”打造全链条产业服务</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color w:val="000000"/>
          <w:kern w:val="0"/>
          <w:sz w:val="31"/>
          <w:szCs w:val="31"/>
          <w:lang w:val="en-US" w:eastAsia="zh-CN" w:bidi="ar"/>
        </w:rPr>
        <w:t>黄岩快维中心紧扣“一站式集成、全链条贯通”服务理念，积极融入并协同运营三大线上服务平台，构建起覆盖传统产业与数字经济、融合行政与司法保护的立体化知识产权服务体系，为区域创新驱动发展注入强劲动能。</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一是用好“黄岩区知识产权一站式服务平台”，实现服务“指尖办”。 </w:t>
      </w:r>
      <w:r>
        <w:rPr>
          <w:rFonts w:hint="default" w:ascii="仿宋_GB2312" w:hAnsi="仿宋_GB2312" w:eastAsia="仿宋_GB2312" w:cs="仿宋_GB2312"/>
          <w:color w:val="000000"/>
          <w:kern w:val="0"/>
          <w:sz w:val="31"/>
          <w:szCs w:val="31"/>
          <w:lang w:val="en-US" w:eastAsia="zh-CN" w:bidi="ar"/>
        </w:rPr>
        <w:t>平台设置维权援助、快速保护、查询检索、知产培训、导航运营、注册缴费六大服务模块。平台对接国家知识产权局大数据资源，为企业免费提供信息检索服务，累计服务企业300余家。实现知识产权查询、申请、管理、保护等功能“一网通办”。</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二是建好“调解工作平台”，构建协同保护“共同体”。</w:t>
      </w:r>
      <w:r>
        <w:rPr>
          <w:rFonts w:hint="default" w:ascii="仿宋_GB2312" w:hAnsi="仿宋_GB2312" w:eastAsia="仿宋_GB2312" w:cs="仿宋_GB2312"/>
          <w:color w:val="000000"/>
          <w:kern w:val="0"/>
          <w:sz w:val="31"/>
          <w:szCs w:val="31"/>
          <w:lang w:val="en-US" w:eastAsia="zh-CN" w:bidi="ar"/>
        </w:rPr>
        <w:t> 依托黄岩区知识产权保护联盟，联合区法院、区检察院、区公安分局等10余家单位，建立知识产权协同保护联动机制，实现执法互助、监管互动、信息互通。创新“诉前调解+司法确认”模式，目前已通过该平台办理相关案件60余件，调解金额超200万元。</w:t>
      </w:r>
    </w:p>
    <w:p>
      <w:pPr>
        <w:keepNext w:val="0"/>
        <w:keepLines w:val="0"/>
        <w:widowControl w:val="0"/>
        <w:numPr>
          <w:ilvl w:val="0"/>
          <w:numId w:val="0"/>
        </w:numPr>
        <w:suppressLineNumbers w:val="0"/>
        <w:spacing w:before="0" w:beforeAutospacing="0" w:after="0" w:afterAutospacing="0"/>
        <w:ind w:left="0" w:right="0" w:firstLine="622" w:firstLineChars="200"/>
        <w:jc w:val="both"/>
        <w:rPr>
          <w:rFonts w:hint="default" w:ascii="仿宋_GB2312" w:hAnsi="仿宋_GB2312" w:eastAsia="仿宋_GB2312" w:cs="仿宋_GB2312"/>
          <w:color w:val="000000"/>
          <w:kern w:val="0"/>
          <w:sz w:val="31"/>
          <w:szCs w:val="31"/>
          <w:lang w:val="en-US" w:eastAsia="zh-CN" w:bidi="ar"/>
        </w:rPr>
      </w:pPr>
      <w:r>
        <w:rPr>
          <w:rFonts w:hint="default" w:ascii="仿宋_GB2312" w:hAnsi="仿宋_GB2312" w:eastAsia="仿宋_GB2312" w:cs="仿宋_GB2312"/>
          <w:b/>
          <w:bCs/>
          <w:color w:val="000000"/>
          <w:kern w:val="0"/>
          <w:sz w:val="31"/>
          <w:szCs w:val="31"/>
          <w:lang w:val="en-US" w:eastAsia="zh-CN" w:bidi="ar"/>
        </w:rPr>
        <w:t>三是融入“宁智汇”平台，跑出数字经济服务“加速度”。 </w:t>
      </w:r>
      <w:r>
        <w:rPr>
          <w:rFonts w:hint="default" w:ascii="仿宋_GB2312" w:hAnsi="仿宋_GB2312" w:eastAsia="仿宋_GB2312" w:cs="仿宋_GB2312"/>
          <w:color w:val="000000"/>
          <w:kern w:val="0"/>
          <w:sz w:val="31"/>
          <w:szCs w:val="31"/>
          <w:lang w:val="en-US" w:eastAsia="zh-CN" w:bidi="ar"/>
        </w:rPr>
        <w:t>主动对接“宁智汇”——黄岩区数字经济产业线上一站式服务平台，将知识产权快速预审、维权援助等服务嵌入“线上服务商城”。依托平台“一码提诉求”与AI智能助手“永小宁”，落实“1小时内响应、24小时处置”机制，精准推送知识产权质押融资、快速预审通道等惠企政策。</w:t>
      </w:r>
    </w:p>
    <w:p>
      <w:pPr>
        <w:keepNext w:val="0"/>
        <w:keepLines w:val="0"/>
        <w:widowControl w:val="0"/>
        <w:numPr>
          <w:ilvl w:val="0"/>
          <w:numId w:val="0"/>
        </w:numPr>
        <w:suppressLineNumbers w:val="0"/>
        <w:spacing w:before="0" w:beforeAutospacing="0" w:after="0" w:afterAutospacing="0"/>
        <w:ind w:left="0" w:right="0" w:firstLine="620" w:firstLineChars="200"/>
        <w:jc w:val="both"/>
        <w:rPr>
          <w:rFonts w:hint="default" w:ascii="仿宋_GB2312" w:hAnsi="仿宋_GB2312" w:eastAsia="仿宋_GB2312" w:cs="仿宋_GB2312"/>
          <w:color w:val="000000"/>
          <w:kern w:val="0"/>
          <w:sz w:val="31"/>
          <w:szCs w:val="31"/>
          <w:lang w:val="en-US" w:eastAsia="zh-CN" w:bidi="ar"/>
        </w:rPr>
      </w:pPr>
    </w:p>
    <w:p>
      <w:pPr>
        <w:keepNext w:val="0"/>
        <w:keepLines w:val="0"/>
        <w:widowControl/>
        <w:numPr>
          <w:ilvl w:val="0"/>
          <w:numId w:val="0"/>
        </w:numPr>
        <w:suppressLineNumbers w:val="0"/>
        <w:ind w:leftChars="0"/>
        <w:jc w:val="left"/>
        <w:rPr>
          <w:rFonts w:hint="eastAsia" w:ascii="仿宋_GB2312" w:hAnsi="仿宋_GB2312" w:eastAsia="仿宋_GB2312" w:cs="仿宋_GB2312"/>
          <w:b w:val="0"/>
          <w:bCs w:val="0"/>
          <w:color w:val="000000"/>
          <w:kern w:val="0"/>
          <w:sz w:val="31"/>
          <w:szCs w:val="31"/>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FZXiaoBiaoSong-B05S">
    <w:panose1 w:val="03000509000000000000"/>
    <w:charset w:val="86"/>
    <w:family w:val="auto"/>
    <w:pitch w:val="default"/>
    <w:sig w:usb0="00000001" w:usb1="080E0000" w:usb2="00000000" w:usb3="00000000" w:csb0="00040000" w:csb1="00000000"/>
  </w:font>
  <w:font w:name="FangSong">
    <w:altName w:val="文泉驿微米黑"/>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FZFangSong-Z02">
    <w:altName w:val="仿宋_GB2312"/>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FCA04C"/>
    <w:multiLevelType w:val="singleLevel"/>
    <w:tmpl w:val="A7FCA04C"/>
    <w:lvl w:ilvl="0" w:tentative="0">
      <w:start w:val="1"/>
      <w:numFmt w:val="chineseCounting"/>
      <w:suff w:val="nothing"/>
      <w:lvlText w:val="%1、"/>
      <w:lvlJc w:val="left"/>
      <w:rPr>
        <w:rFonts w:hint="eastAsia"/>
      </w:rPr>
    </w:lvl>
  </w:abstractNum>
  <w:abstractNum w:abstractNumId="1">
    <w:nsid w:val="7D5E277A"/>
    <w:multiLevelType w:val="singleLevel"/>
    <w:tmpl w:val="7D5E277A"/>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5FBF22C"/>
    <w:rsid w:val="4DCFA93A"/>
    <w:rsid w:val="5F9FB007"/>
    <w:rsid w:val="7D97ECAD"/>
    <w:rsid w:val="7DFF8A47"/>
    <w:rsid w:val="7FEE6F00"/>
    <w:rsid w:val="B5FBF22C"/>
    <w:rsid w:val="DDEAF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2026-08-12T19:44:00Z</dcterms:created>
  <dc:creator>uos</dc:creator>
  <cp:lastModifiedBy>uos</cp:lastModifiedBy>
  <dcterms:modified xsi:type="dcterms:W3CDTF">2026-08-13T09:17:37Z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ies>
</file>