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widowControl/>
        <w:suppressLineNumbers w:val="0"/>
        <w:jc w:val="left"/>
      </w:pPr>
      <w:r>
        <w:rPr>
          <w:rFonts w:hint="eastAsia" w:ascii="FZXiaoBiaoSong-B05S" w:hAnsi="FZXiaoBiaoSong-B05S" w:eastAsia="FZXiaoBiaoSong-B05S" w:cs="FZXiaoBiaoSong-B05S"/>
          <w:color w:val="FF0000"/>
          <w:kern w:val="0"/>
          <w:sz w:val="103"/>
          <w:szCs w:val="103"/>
          <w:lang w:val="en-US" w:eastAsia="zh-CN" w:bidi="ar"/>
        </w:rPr>
        <w:t>黄岩</w:t>
      </w:r>
      <w:r>
        <w:rPr>
          <w:rFonts w:ascii="FZXiaoBiaoSong-B05S" w:hAnsi="FZXiaoBiaoSong-B05S" w:eastAsia="FZXiaoBiaoSong-B05S" w:cs="FZXiaoBiaoSong-B05S"/>
          <w:color w:val="FF0000"/>
          <w:kern w:val="0"/>
          <w:sz w:val="103"/>
          <w:szCs w:val="103"/>
          <w:lang w:val="en-US" w:eastAsia="zh-CN" w:bidi="ar"/>
        </w:rPr>
        <w:t xml:space="preserve">知识产权要讯 </w:t>
      </w:r>
    </w:p>
    <w:p>
      <w:pPr>
        <w:keepNext w:val="0"/>
        <w:keepLines w:val="0"/>
        <w:widowControl/>
        <w:suppressLineNumbers w:val="0"/>
        <w:jc w:val="center"/>
      </w:pPr>
      <w:r>
        <w:rPr>
          <w:rFonts w:hint="eastAsia" w:ascii="FZXiaoBiaoSong-B05S" w:hAnsi="FZXiaoBiaoSong-B05S" w:eastAsia="FZXiaoBiaoSong-B05S" w:cs="FZXiaoBiaoSong-B05S"/>
          <w:color w:val="FF0000"/>
          <w:kern w:val="0"/>
          <w:sz w:val="31"/>
          <w:szCs w:val="31"/>
          <w:lang w:val="en-US" w:eastAsia="zh-CN" w:bidi="ar"/>
        </w:rPr>
        <w:t>第 1 期</w:t>
      </w:r>
    </w:p>
    <w:p>
      <w:pPr>
        <w:keepNext w:val="0"/>
        <w:keepLines w:val="0"/>
        <w:widowControl/>
        <w:suppressLineNumbers w:val="0"/>
        <w:jc w:val="center"/>
        <w:rPr>
          <w:rFonts w:hint="eastAsia" w:ascii="FZXiaoBiaoSong-B05S" w:hAnsi="FZXiaoBiaoSong-B05S" w:eastAsia="FZXiaoBiaoSong-B05S" w:cs="FZXiaoBiaoSong-B05S"/>
          <w:color w:val="FF0000"/>
          <w:kern w:val="0"/>
          <w:sz w:val="31"/>
          <w:szCs w:val="31"/>
          <w:lang w:val="en-US" w:eastAsia="zh-CN" w:bidi="ar"/>
        </w:rPr>
      </w:pPr>
      <w:r>
        <w:rPr>
          <w:rFonts w:hint="eastAsia" w:ascii="FZXiaoBiaoSong-B05S" w:hAnsi="FZXiaoBiaoSong-B05S" w:eastAsia="FZXiaoBiaoSong-B05S" w:cs="FZXiaoBiaoSong-B05S"/>
          <w:color w:val="FF0000"/>
          <w:kern w:val="0"/>
          <w:sz w:val="31"/>
          <w:szCs w:val="31"/>
          <w:lang w:val="en-US" w:eastAsia="zh-CN" w:bidi="ar"/>
        </w:rPr>
        <w:t>（总第 1 期）</w:t>
      </w:r>
    </w:p>
    <w:p>
      <w:pPr>
        <w:keepNext w:val="0"/>
        <w:keepLines w:val="0"/>
        <w:widowControl/>
        <w:suppressLineNumbers w:val="0"/>
        <w:jc w:val="center"/>
        <w:rPr>
          <w:rFonts w:hint="default" w:ascii="FangSong" w:hAnsi="FangSong" w:eastAsia="FangSong" w:cs="FangSong"/>
          <w:color w:val="000000"/>
          <w:kern w:val="0"/>
          <w:sz w:val="31"/>
          <w:szCs w:val="31"/>
          <w:lang w:val="en-US" w:eastAsia="zh-CN" w:bidi="ar"/>
        </w:rPr>
      </w:pPr>
      <w:r>
        <w:rPr>
          <w:sz w:val="31"/>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384810</wp:posOffset>
                </wp:positionV>
                <wp:extent cx="526732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875030" y="3478530"/>
                          <a:ext cx="5267325" cy="952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4pt;margin-top:30.3pt;height:0.75pt;width:414.75pt;z-index:251659264;mso-width-relative:page;mso-height-relative:page;" filled="f" stroked="t" coordsize="21600,21600" o:gfxdata="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BQAAAAIAIdO4kCPv1BCAAIAANgD&#10;AAAOAAAAAAAAAAEAIAAAADsBAABkcnMvZTJvRG9jLnhtbFBLAQIUABQAAAAIAIdO4kD1futC1gAA&#10;AAcBAAAPAAAAAAAAAAEAIAAAADgAAABkcnMvZG93bnJldi54bWxQSwECFAAKAAAAAACHTuJAAAAA&#10;AAAAAAAAAAAABAAAAAAAAAAAABAAAAAWAAAAZHJzL1BLBQYAAAAABgAGAFkBAACtBQAAAAA=&#10;">
                <v:fill on="f" focussize="0,0"/>
                <v:stroke weight="1.5pt" color="#FF0000" miterlimit="8" joinstyle="miter"/>
                <v:imagedata o:title=""/>
                <o:lock v:ext="edit" aspectratio="f"/>
              </v:line>
            </w:pict>
          </mc:Fallback>
        </mc:AlternateContent>
      </w:r>
      <w:r>
        <w:rPr>
          <w:rFonts w:hint="eastAsia" w:ascii="仿宋_GB2312" w:hAnsi="仿宋_GB2312" w:eastAsia="仿宋_GB2312" w:cs="仿宋_GB2312"/>
          <w:color w:val="000000"/>
          <w:kern w:val="0"/>
          <w:sz w:val="31"/>
          <w:szCs w:val="31"/>
          <w:lang w:val="en-US" w:eastAsia="zh-CN" w:bidi="ar"/>
        </w:rPr>
        <w:t>台州市黄岩区知识产权保护中心        2025 年 5月 12 日</w:t>
      </w:r>
      <w:r>
        <w:rPr>
          <w:rFonts w:hint="default" w:ascii="FangSong" w:hAnsi="FangSong" w:eastAsia="FangSong" w:cs="FangSong"/>
          <w:color w:val="000000"/>
          <w:kern w:val="0"/>
          <w:sz w:val="31"/>
          <w:szCs w:val="31"/>
          <w:lang w:val="en-US" w:eastAsia="zh-CN" w:bidi="ar"/>
        </w:rPr>
        <w:t xml:space="preserve"> </w:t>
      </w:r>
    </w:p>
    <w:p>
      <w:pPr>
        <w:keepNext w:val="0"/>
        <w:keepLines w:val="0"/>
        <w:widowControl/>
        <w:suppressLineNumbers w:val="0"/>
        <w:jc w:val="right"/>
        <w:rPr>
          <w:rFonts w:hint="default" w:ascii="FangSong" w:hAnsi="FangSong" w:eastAsia="FangSong" w:cs="FangSong"/>
          <w:color w:val="000000"/>
          <w:kern w:val="0"/>
          <w:sz w:val="31"/>
          <w:szCs w:val="31"/>
          <w:lang w:val="en-US" w:eastAsia="zh-CN" w:bidi="ar"/>
        </w:rPr>
      </w:pPr>
    </w:p>
    <w:p>
      <w:pPr>
        <w:keepNext w:val="0"/>
        <w:keepLines w:val="0"/>
        <w:widowControl/>
        <w:suppressLineNumbers w:val="0"/>
        <w:jc w:val="center"/>
      </w:pPr>
      <w:r>
        <w:rPr>
          <w:rFonts w:hint="eastAsia" w:ascii="FZXiaoBiaoSong-B05S" w:hAnsi="FZXiaoBiaoSong-B05S" w:eastAsia="FZXiaoBiaoSong-B05S" w:cs="FZXiaoBiaoSong-B05S"/>
          <w:color w:val="000000"/>
          <w:kern w:val="0"/>
          <w:sz w:val="43"/>
          <w:szCs w:val="43"/>
          <w:lang w:val="en-US" w:eastAsia="zh-CN" w:bidi="ar"/>
        </w:rPr>
        <w:t>目 录</w:t>
      </w:r>
    </w:p>
    <w:p>
      <w:pPr>
        <w:keepNext w:val="0"/>
        <w:keepLines w:val="0"/>
        <w:widowControl/>
        <w:numPr>
          <w:ilvl w:val="0"/>
          <w:numId w:val="1"/>
        </w:numPr>
        <w:suppressLineNumbers w:val="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 xml:space="preserve">专利预审 </w:t>
      </w:r>
    </w:p>
    <w:p>
      <w:pPr>
        <w:keepNext w:val="0"/>
        <w:keepLines w:val="0"/>
        <w:widowControl/>
        <w:suppressLineNumbers w:val="0"/>
        <w:jc w:val="left"/>
        <w:rPr>
          <w:rFonts w:hint="default" w:ascii="仿宋_GB2312" w:hAnsi="仿宋_GB2312" w:eastAsia="仿宋_GB2312" w:cs="仿宋_GB2312"/>
          <w:b/>
          <w:bCs/>
          <w:color w:val="000000"/>
          <w:kern w:val="0"/>
          <w:sz w:val="31"/>
          <w:szCs w:val="31"/>
          <w:lang w:eastAsia="zh-CN" w:bidi="ar"/>
        </w:rPr>
      </w:pPr>
      <w:r>
        <w:rPr>
          <w:rFonts w:hint="default" w:ascii="仿宋_GB2312" w:hAnsi="仿宋_GB2312" w:eastAsia="仿宋_GB2312" w:cs="仿宋_GB2312"/>
          <w:b/>
          <w:bCs/>
          <w:color w:val="000000"/>
          <w:kern w:val="0"/>
          <w:sz w:val="31"/>
          <w:szCs w:val="31"/>
          <w:lang w:eastAsia="zh-CN" w:bidi="ar"/>
        </w:rPr>
        <w:t>黄岩情况</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台州黄岩（塑料制品）知识产权快速维权中心4月专利预审情况</w:t>
      </w:r>
    </w:p>
    <w:p>
      <w:pPr>
        <w:keepNext w:val="0"/>
        <w:keepLines w:val="0"/>
        <w:widowControl/>
        <w:numPr>
          <w:ilvl w:val="0"/>
          <w:numId w:val="1"/>
        </w:numPr>
        <w:suppressLineNumbers w:val="0"/>
        <w:ind w:left="0" w:leftChars="0" w:firstLine="0" w:firstLineChars="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维权援助</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台州黄岩（塑料制品）知识产权快速维权中心4月维权援助情况</w:t>
      </w:r>
    </w:p>
    <w:p>
      <w:pPr>
        <w:keepNext w:val="0"/>
        <w:keepLines w:val="0"/>
        <w:widowControl/>
        <w:numPr>
          <w:ilvl w:val="0"/>
          <w:numId w:val="0"/>
        </w:numPr>
        <w:suppressLineNumbers w:val="0"/>
        <w:ind w:leftChars="0"/>
        <w:jc w:val="left"/>
        <w:rPr>
          <w:rFonts w:hint="eastAsia" w:ascii="仿宋_GB2312" w:hAnsi="仿宋_GB2312" w:eastAsia="仿宋_GB2312" w:cs="仿宋_GB2312"/>
          <w:b/>
          <w:bCs/>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三、时事要闻</w:t>
      </w:r>
    </w:p>
    <w:p>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全国要闻</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-国家知识产权强国建设工作部际联席会议第二次全体会议召开</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-2025年全国知识产权宣传周主场活动在京举行</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-2025中国知识产权保护高层论坛在京举办</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-专利法实施40周年座谈会在京召开</w:t>
      </w: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-2025中国知识产权保护高层论坛地理标志分论坛在京举办</w:t>
      </w:r>
    </w:p>
    <w:p>
      <w:pPr>
        <w:keepNext w:val="0"/>
        <w:keepLines w:val="0"/>
        <w:widowControl/>
        <w:suppressLineNumbers w:val="0"/>
        <w:jc w:val="both"/>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-《二〇二四年中国知识产权保护状况》白皮书正式发布</w:t>
      </w: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-国家知识产权局举办开放日活动</w:t>
      </w:r>
    </w:p>
    <w:p>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国际要闻</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-国家知识产权局与匈牙利知识产权局启动“中匈联络员机制”试点项目</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-氮化镓专利战：中国英诺赛科公司宣告在与EPC的ITC诉讼中取得最终胜利</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-美国联邦巡回上诉法院就默克公司再颁专利的药品专利期限延迟争议作出裁定</w:t>
      </w:r>
    </w:p>
    <w:p>
      <w:pPr>
        <w:keepNext w:val="0"/>
        <w:keepLines w:val="0"/>
        <w:widowControl/>
        <w:numPr>
          <w:ilvl w:val="0"/>
          <w:numId w:val="0"/>
        </w:numPr>
        <w:suppressLineNumbers w:val="0"/>
        <w:ind w:leftChars="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四、动态信息</w:t>
      </w:r>
    </w:p>
    <w:p>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本地动态</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-黄岩知识产权一站式服务平台正式上线</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-黄岩区镇、街道知识产权工作会议在黄岩快维中心召开</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-黄岩快维中心深入企业走访 精准服务知识产权需求</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-黄岩快维中心开展“同读一本创新经典书、共上一堂知识产权课”知识产权进校园主题活动</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-黄岩快维中心举办“数据经济领域知识产权保护”公益培训</w:t>
      </w:r>
    </w:p>
    <w:p>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全市动态</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-台州市知识产权宣传周系列活动精彩回顾</w:t>
      </w: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br w:type="page"/>
      </w:r>
    </w:p>
    <w:p>
      <w:pPr>
        <w:keepNext w:val="0"/>
        <w:keepLines w:val="0"/>
        <w:widowControl/>
        <w:numPr>
          <w:ilvl w:val="0"/>
          <w:numId w:val="2"/>
        </w:numPr>
        <w:suppressLineNumbers w:val="0"/>
        <w:ind w:leftChars="0"/>
        <w:jc w:val="left"/>
        <w:rPr>
          <w:rFonts w:hint="default" w:ascii="黑体" w:hAnsi="宋体" w:eastAsia="黑体" w:cs="黑体"/>
          <w:color w:val="000000"/>
          <w:kern w:val="0"/>
          <w:sz w:val="31"/>
          <w:szCs w:val="31"/>
          <w:lang w:eastAsia="zh-CN" w:bidi="ar"/>
        </w:rPr>
      </w:pPr>
      <w:r>
        <w:rPr>
          <w:rFonts w:hint="default" w:ascii="黑体" w:hAnsi="宋体" w:eastAsia="黑体" w:cs="黑体"/>
          <w:color w:val="000000"/>
          <w:kern w:val="0"/>
          <w:sz w:val="31"/>
          <w:szCs w:val="31"/>
          <w:lang w:eastAsia="zh-CN" w:bidi="ar"/>
        </w:rPr>
        <w:t>专利预审</w:t>
      </w:r>
    </w:p>
    <w:p>
      <w:pPr>
        <w:keepNext w:val="0"/>
        <w:keepLines w:val="0"/>
        <w:widowControl/>
        <w:numPr>
          <w:ilvl w:val="0"/>
          <w:numId w:val="0"/>
        </w:numPr>
        <w:suppressLineNumbers w:val="0"/>
        <w:jc w:val="left"/>
        <w:rPr>
          <w:rFonts w:hint="eastAsia" w:ascii="黑体" w:hAnsi="宋体" w:eastAsia="黑体" w:cs="黑体"/>
          <w:color w:val="000000"/>
          <w:kern w:val="0"/>
          <w:sz w:val="31"/>
          <w:szCs w:val="31"/>
          <w:lang w:eastAsia="zh-CN" w:bidi="ar"/>
        </w:rPr>
      </w:pPr>
      <w:r>
        <w:rPr>
          <w:rFonts w:ascii="FangSong" w:hAnsi="FangSong" w:eastAsia="FangSong" w:cs="FangSong"/>
          <w:color w:val="000000"/>
          <w:kern w:val="0"/>
          <w:sz w:val="31"/>
          <w:szCs w:val="31"/>
          <w:lang w:val="en-US" w:eastAsia="zh-CN" w:bidi="ar"/>
        </w:rPr>
        <w:t>●</w:t>
      </w:r>
      <w:r>
        <w:rPr>
          <w:rFonts w:hint="eastAsia" w:ascii="黑体" w:hAnsi="宋体" w:eastAsia="黑体" w:cs="黑体"/>
          <w:color w:val="000000"/>
          <w:kern w:val="0"/>
          <w:sz w:val="31"/>
          <w:szCs w:val="31"/>
          <w:lang w:eastAsia="zh-CN" w:bidi="ar"/>
        </w:rPr>
        <w:t>黄岩情况</w:t>
      </w:r>
    </w:p>
    <w:p>
      <w:pPr>
        <w:keepNext w:val="0"/>
        <w:keepLines w:val="0"/>
        <w:widowControl/>
        <w:suppressLineNumbers w:val="0"/>
        <w:jc w:val="center"/>
        <w:rPr>
          <w:rFonts w:hint="default" w:ascii="FZXiaoBiaoSong-B05S" w:hAnsi="FZXiaoBiaoSong-B05S" w:eastAsia="FZXiaoBiaoSong-B05S" w:cs="FZXiaoBiaoSong-B05S"/>
          <w:color w:val="000000"/>
          <w:kern w:val="0"/>
          <w:sz w:val="31"/>
          <w:szCs w:val="31"/>
          <w:lang w:val="en-US" w:eastAsia="zh-CN" w:bidi="ar"/>
        </w:rPr>
      </w:pPr>
      <w:r>
        <w:rPr>
          <w:rFonts w:hint="default" w:ascii="FZXiaoBiaoSong-B05S" w:hAnsi="FZXiaoBiaoSong-B05S" w:eastAsia="FZXiaoBiaoSong-B05S" w:cs="FZXiaoBiaoSong-B05S"/>
          <w:color w:val="000000"/>
          <w:kern w:val="0"/>
          <w:sz w:val="31"/>
          <w:szCs w:val="31"/>
          <w:lang w:val="en-US" w:eastAsia="zh-CN" w:bidi="ar"/>
        </w:rPr>
        <w:t>台州黄岩（塑料制品）知识产权快速维权中心4月专利预审</w:t>
      </w:r>
      <w:r>
        <w:rPr>
          <w:rFonts w:hint="default" w:ascii="FZXiaoBiaoSong-B05S" w:hAnsi="FZXiaoBiaoSong-B05S" w:eastAsia="FZXiaoBiaoSong-B05S" w:cs="FZXiaoBiaoSong-B05S"/>
          <w:color w:val="000000"/>
          <w:kern w:val="0"/>
          <w:sz w:val="31"/>
          <w:szCs w:val="31"/>
          <w:lang w:eastAsia="zh-CN" w:bidi="ar"/>
        </w:rPr>
        <w:t>备案</w:t>
      </w:r>
      <w:r>
        <w:rPr>
          <w:rFonts w:hint="default" w:ascii="FZXiaoBiaoSong-B05S" w:hAnsi="FZXiaoBiaoSong-B05S" w:eastAsia="FZXiaoBiaoSong-B05S" w:cs="FZXiaoBiaoSong-B05S"/>
          <w:color w:val="000000"/>
          <w:kern w:val="0"/>
          <w:sz w:val="31"/>
          <w:szCs w:val="31"/>
          <w:lang w:val="en-US" w:eastAsia="zh-CN" w:bidi="ar"/>
        </w:rPr>
        <w:t>情况</w:t>
      </w:r>
    </w:p>
    <w:p>
      <w:pPr>
        <w:keepNext w:val="0"/>
        <w:keepLines w:val="0"/>
        <w:widowControl w:val="0"/>
        <w:numPr>
          <w:ilvl w:val="0"/>
          <w:numId w:val="0"/>
        </w:numPr>
        <w:suppressLineNumbers w:val="0"/>
        <w:spacing w:before="0" w:beforeAutospacing="0" w:after="0" w:afterAutospacing="0"/>
        <w:ind w:left="0" w:right="0"/>
        <w:jc w:val="both"/>
        <w:rPr>
          <w:rFonts w:hint="default" w:ascii="仿宋_GB2312" w:hAnsi="仿宋_GB2312" w:eastAsia="仿宋_GB2312" w:cs="仿宋_GB2312"/>
          <w:color w:val="000000"/>
          <w:kern w:val="0"/>
          <w:sz w:val="31"/>
          <w:szCs w:val="31"/>
          <w:lang w:eastAsia="zh-CN" w:bidi="ar"/>
        </w:rPr>
      </w:pPr>
      <w:r>
        <w:rPr>
          <w:rFonts w:hint="default" w:ascii="仿宋_GB2312" w:hAnsi="仿宋_GB2312" w:eastAsia="仿宋_GB2312" w:cs="仿宋_GB2312"/>
          <w:color w:val="000000"/>
          <w:kern w:val="0"/>
          <w:sz w:val="31"/>
          <w:szCs w:val="31"/>
          <w:lang w:eastAsia="zh-CN" w:bidi="ar"/>
        </w:rPr>
        <w:t xml:space="preserve">    台州黄岩（塑料制品）知识产权快速维权中心运营以来，共注册代理机构35家，备案企业178家，其中1家为外资、合资企业，11家为省级“专精特新”中小企业。</w:t>
      </w:r>
    </w:p>
    <w:p>
      <w:pPr>
        <w:keepNext w:val="0"/>
        <w:keepLines w:val="0"/>
        <w:widowControl w:val="0"/>
        <w:numPr>
          <w:ilvl w:val="0"/>
          <w:numId w:val="0"/>
        </w:numPr>
        <w:suppressLineNumbers w:val="0"/>
        <w:spacing w:before="0" w:beforeAutospacing="0" w:after="0" w:afterAutospacing="0"/>
        <w:ind w:left="0" w:right="0"/>
        <w:jc w:val="both"/>
        <w:rPr>
          <w:rFonts w:hint="default" w:ascii="仿宋_GB2312" w:hAnsi="仿宋_GB2312" w:eastAsia="仿宋_GB2312" w:cs="仿宋_GB2312"/>
          <w:color w:val="000000"/>
          <w:kern w:val="0"/>
          <w:sz w:val="31"/>
          <w:szCs w:val="31"/>
          <w:lang w:eastAsia="zh-CN" w:bidi="ar"/>
        </w:rPr>
      </w:pPr>
      <w:r>
        <w:rPr>
          <w:rFonts w:hint="default" w:ascii="仿宋_GB2312" w:hAnsi="仿宋_GB2312" w:eastAsia="仿宋_GB2312" w:cs="仿宋_GB2312"/>
          <w:color w:val="000000"/>
          <w:kern w:val="0"/>
          <w:sz w:val="31"/>
          <w:szCs w:val="31"/>
          <w:lang w:eastAsia="zh-CN" w:bidi="ar"/>
        </w:rPr>
        <w:t xml:space="preserve">    4月，台州黄岩（塑料制品）知识产权快速维权中心外观设计预审接收104件，受理122件，合格90件。经国知局审查，授权104件。</w:t>
      </w:r>
    </w:p>
    <w:p>
      <w:pPr>
        <w:keepNext w:val="0"/>
        <w:keepLines w:val="0"/>
        <w:widowControl w:val="0"/>
        <w:numPr>
          <w:ilvl w:val="0"/>
          <w:numId w:val="0"/>
        </w:numPr>
        <w:suppressLineNumbers w:val="0"/>
        <w:spacing w:before="0" w:beforeAutospacing="0" w:after="0" w:afterAutospacing="0"/>
        <w:ind w:left="0" w:right="0"/>
        <w:jc w:val="both"/>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eastAsia="zh-CN" w:bidi="ar"/>
        </w:rPr>
        <w:t xml:space="preserve">    1-4月，台州黄岩（塑料制品）知识产权快速维权中心外观设计</w:t>
      </w:r>
      <w:r>
        <w:rPr>
          <w:rFonts w:hint="default" w:ascii="仿宋_GB2312" w:hAnsi="仿宋_GB2312" w:eastAsia="仿宋_GB2312" w:cs="仿宋_GB2312"/>
          <w:color w:val="000000"/>
          <w:kern w:val="0"/>
          <w:sz w:val="31"/>
          <w:szCs w:val="31"/>
          <w:lang w:val="en-US" w:eastAsia="zh-CN" w:bidi="ar"/>
        </w:rPr>
        <w:t>预审接收</w:t>
      </w:r>
      <w:r>
        <w:rPr>
          <w:rFonts w:hint="default" w:ascii="仿宋_GB2312" w:hAnsi="仿宋_GB2312" w:eastAsia="仿宋_GB2312" w:cs="仿宋_GB2312"/>
          <w:color w:val="000000"/>
          <w:kern w:val="0"/>
          <w:sz w:val="31"/>
          <w:szCs w:val="31"/>
          <w:lang w:eastAsia="zh-CN" w:bidi="ar"/>
        </w:rPr>
        <w:t>367</w:t>
      </w:r>
      <w:r>
        <w:rPr>
          <w:rFonts w:hint="default" w:ascii="仿宋_GB2312" w:hAnsi="仿宋_GB2312" w:eastAsia="仿宋_GB2312" w:cs="仿宋_GB2312"/>
          <w:color w:val="000000"/>
          <w:kern w:val="0"/>
          <w:sz w:val="31"/>
          <w:szCs w:val="31"/>
          <w:lang w:val="en-US" w:eastAsia="zh-CN" w:bidi="ar"/>
        </w:rPr>
        <w:t>件，受理</w:t>
      </w:r>
      <w:r>
        <w:rPr>
          <w:rFonts w:hint="default" w:ascii="仿宋_GB2312" w:hAnsi="仿宋_GB2312" w:eastAsia="仿宋_GB2312" w:cs="仿宋_GB2312"/>
          <w:color w:val="000000"/>
          <w:kern w:val="0"/>
          <w:sz w:val="31"/>
          <w:szCs w:val="31"/>
          <w:lang w:eastAsia="zh-CN" w:bidi="ar"/>
        </w:rPr>
        <w:t>353</w:t>
      </w:r>
      <w:r>
        <w:rPr>
          <w:rFonts w:hint="default" w:ascii="仿宋_GB2312" w:hAnsi="仿宋_GB2312" w:eastAsia="仿宋_GB2312" w:cs="仿宋_GB2312"/>
          <w:color w:val="000000"/>
          <w:kern w:val="0"/>
          <w:sz w:val="31"/>
          <w:szCs w:val="31"/>
          <w:lang w:val="en-US" w:eastAsia="zh-CN" w:bidi="ar"/>
        </w:rPr>
        <w:t>件，</w:t>
      </w:r>
      <w:r>
        <w:rPr>
          <w:rFonts w:hint="default" w:ascii="仿宋_GB2312" w:hAnsi="仿宋_GB2312" w:eastAsia="仿宋_GB2312" w:cs="仿宋_GB2312"/>
          <w:color w:val="000000"/>
          <w:kern w:val="0"/>
          <w:sz w:val="31"/>
          <w:szCs w:val="31"/>
          <w:lang w:eastAsia="zh-CN" w:bidi="ar"/>
        </w:rPr>
        <w:t>合格284</w:t>
      </w:r>
      <w:r>
        <w:rPr>
          <w:rFonts w:hint="default" w:ascii="仿宋_GB2312" w:hAnsi="仿宋_GB2312" w:eastAsia="仿宋_GB2312" w:cs="仿宋_GB2312"/>
          <w:color w:val="000000"/>
          <w:kern w:val="0"/>
          <w:sz w:val="31"/>
          <w:szCs w:val="31"/>
          <w:lang w:val="en-US" w:eastAsia="zh-CN" w:bidi="ar"/>
        </w:rPr>
        <w:t>件</w:t>
      </w:r>
      <w:r>
        <w:rPr>
          <w:rFonts w:hint="default" w:ascii="仿宋_GB2312" w:hAnsi="仿宋_GB2312" w:eastAsia="仿宋_GB2312" w:cs="仿宋_GB2312"/>
          <w:color w:val="000000"/>
          <w:kern w:val="0"/>
          <w:sz w:val="31"/>
          <w:szCs w:val="31"/>
          <w:lang w:eastAsia="zh-CN" w:bidi="ar"/>
        </w:rPr>
        <w:t>。经国知局审查，</w:t>
      </w:r>
      <w:r>
        <w:rPr>
          <w:rFonts w:hint="default" w:ascii="仿宋_GB2312" w:hAnsi="仿宋_GB2312" w:eastAsia="仿宋_GB2312" w:cs="仿宋_GB2312"/>
          <w:color w:val="000000"/>
          <w:kern w:val="0"/>
          <w:sz w:val="31"/>
          <w:szCs w:val="31"/>
          <w:lang w:val="en-US" w:eastAsia="zh-CN" w:bidi="ar"/>
        </w:rPr>
        <w:t>授权</w:t>
      </w:r>
      <w:r>
        <w:rPr>
          <w:rFonts w:hint="default" w:ascii="仿宋_GB2312" w:hAnsi="仿宋_GB2312" w:eastAsia="仿宋_GB2312" w:cs="仿宋_GB2312"/>
          <w:color w:val="000000"/>
          <w:kern w:val="0"/>
          <w:sz w:val="31"/>
          <w:szCs w:val="31"/>
          <w:lang w:eastAsia="zh-CN" w:bidi="ar"/>
        </w:rPr>
        <w:t>276</w:t>
      </w:r>
      <w:r>
        <w:rPr>
          <w:rFonts w:hint="default" w:ascii="仿宋_GB2312" w:hAnsi="仿宋_GB2312" w:eastAsia="仿宋_GB2312" w:cs="仿宋_GB2312"/>
          <w:color w:val="000000"/>
          <w:kern w:val="0"/>
          <w:sz w:val="31"/>
          <w:szCs w:val="31"/>
          <w:lang w:val="en-US" w:eastAsia="zh-CN" w:bidi="ar"/>
        </w:rPr>
        <w:t>件。</w:t>
      </w:r>
    </w:p>
    <w:p>
      <w:pPr>
        <w:keepNext w:val="0"/>
        <w:keepLines w:val="0"/>
        <w:widowControl w:val="0"/>
        <w:numPr>
          <w:ilvl w:val="0"/>
          <w:numId w:val="0"/>
        </w:numPr>
        <w:suppressLineNumbers w:val="0"/>
        <w:spacing w:before="0" w:beforeAutospacing="0" w:after="0" w:afterAutospacing="0"/>
        <w:ind w:left="0" w:right="0"/>
        <w:jc w:val="both"/>
        <w:rPr>
          <w:rFonts w:hint="default" w:ascii="仿宋_GB2312" w:hAnsi="仿宋_GB2312" w:eastAsia="仿宋_GB2312" w:cs="仿宋_GB2312"/>
          <w:color w:val="000000"/>
          <w:kern w:val="0"/>
          <w:sz w:val="31"/>
          <w:szCs w:val="31"/>
          <w:lang w:val="en-US" w:eastAsia="zh-CN" w:bidi="ar"/>
        </w:rPr>
      </w:pPr>
    </w:p>
    <w:p>
      <w:pPr>
        <w:keepNext w:val="0"/>
        <w:keepLines w:val="0"/>
        <w:widowControl w:val="0"/>
        <w:numPr>
          <w:ilvl w:val="0"/>
          <w:numId w:val="0"/>
        </w:numPr>
        <w:suppressLineNumbers w:val="0"/>
        <w:spacing w:before="0" w:beforeAutospacing="0" w:after="0" w:afterAutospacing="0"/>
        <w:ind w:left="0" w:right="0"/>
        <w:jc w:val="both"/>
        <w:rPr>
          <w:rFonts w:hint="default" w:ascii="仿宋_GB2312" w:hAnsi="仿宋_GB2312" w:eastAsia="仿宋_GB2312" w:cs="仿宋_GB2312"/>
          <w:color w:val="000000"/>
          <w:kern w:val="0"/>
          <w:sz w:val="31"/>
          <w:szCs w:val="31"/>
          <w:lang w:val="en-US" w:eastAsia="zh-CN" w:bidi="ar"/>
        </w:rPr>
      </w:pPr>
    </w:p>
    <w:p>
      <w:pPr>
        <w:keepNext w:val="0"/>
        <w:keepLines w:val="0"/>
        <w:widowControl/>
        <w:numPr>
          <w:ilvl w:val="0"/>
          <w:numId w:val="2"/>
        </w:numPr>
        <w:suppressLineNumbers w:val="0"/>
        <w:ind w:left="0" w:leftChars="0" w:firstLine="0" w:firstLineChars="0"/>
        <w:jc w:val="left"/>
        <w:rPr>
          <w:rFonts w:hint="default" w:ascii="黑体" w:hAnsi="宋体" w:eastAsia="黑体" w:cs="黑体"/>
          <w:color w:val="000000"/>
          <w:kern w:val="0"/>
          <w:sz w:val="31"/>
          <w:szCs w:val="31"/>
          <w:lang w:eastAsia="zh-CN" w:bidi="ar"/>
        </w:rPr>
      </w:pPr>
      <w:r>
        <w:rPr>
          <w:rFonts w:hint="default" w:ascii="黑体" w:hAnsi="宋体" w:eastAsia="黑体" w:cs="黑体"/>
          <w:color w:val="000000"/>
          <w:kern w:val="0"/>
          <w:sz w:val="31"/>
          <w:szCs w:val="31"/>
          <w:lang w:eastAsia="zh-CN" w:bidi="ar"/>
        </w:rPr>
        <w:t>维权援助</w:t>
      </w:r>
    </w:p>
    <w:p>
      <w:pPr>
        <w:keepNext w:val="0"/>
        <w:keepLines w:val="0"/>
        <w:widowControl/>
        <w:suppressLineNumbers w:val="0"/>
        <w:jc w:val="center"/>
        <w:rPr>
          <w:rFonts w:hint="default" w:ascii="黑体" w:hAnsi="宋体" w:eastAsia="黑体" w:cs="黑体"/>
          <w:color w:val="000000"/>
          <w:kern w:val="0"/>
          <w:sz w:val="31"/>
          <w:szCs w:val="31"/>
          <w:lang w:eastAsia="zh-CN" w:bidi="ar"/>
        </w:rPr>
      </w:pPr>
      <w:r>
        <w:rPr>
          <w:rFonts w:hint="default" w:ascii="FZXiaoBiaoSong-B05S" w:hAnsi="FZXiaoBiaoSong-B05S" w:eastAsia="FZXiaoBiaoSong-B05S" w:cs="FZXiaoBiaoSong-B05S"/>
          <w:color w:val="000000"/>
          <w:kern w:val="0"/>
          <w:sz w:val="31"/>
          <w:szCs w:val="31"/>
          <w:lang w:val="en-US" w:eastAsia="zh-CN" w:bidi="ar"/>
        </w:rPr>
        <w:t>台州黄岩（塑料制品）知识产权快速维权中心4月维权援助情况</w:t>
      </w:r>
    </w:p>
    <w:p>
      <w:pPr>
        <w:keepNext w:val="0"/>
        <w:keepLines w:val="0"/>
        <w:widowControl w:val="0"/>
        <w:numPr>
          <w:ilvl w:val="0"/>
          <w:numId w:val="0"/>
        </w:numPr>
        <w:suppressLineNumbers w:val="0"/>
        <w:spacing w:before="0" w:beforeAutospacing="0" w:after="0" w:afterAutospacing="0"/>
        <w:ind w:left="0" w:right="0"/>
        <w:jc w:val="both"/>
        <w:rPr>
          <w:rFonts w:hint="default" w:ascii="仿宋_GB2312" w:hAnsi="仿宋_GB2312" w:eastAsia="仿宋_GB2312" w:cs="仿宋_GB2312"/>
          <w:color w:val="000000"/>
          <w:kern w:val="0"/>
          <w:sz w:val="31"/>
          <w:szCs w:val="31"/>
          <w:lang w:eastAsia="zh-CN" w:bidi="ar"/>
        </w:rPr>
      </w:pPr>
      <w:r>
        <w:rPr>
          <w:rFonts w:hint="default" w:ascii="仿宋_GB2312" w:hAnsi="仿宋_GB2312" w:eastAsia="仿宋_GB2312" w:cs="仿宋_GB2312"/>
          <w:color w:val="000000"/>
          <w:kern w:val="0"/>
          <w:sz w:val="31"/>
          <w:szCs w:val="31"/>
          <w:lang w:eastAsia="zh-CN" w:bidi="ar"/>
        </w:rPr>
        <w:t xml:space="preserve">    4月，</w:t>
      </w:r>
      <w:r>
        <w:rPr>
          <w:rFonts w:hint="default" w:ascii="仿宋_GB2312" w:hAnsi="仿宋_GB2312" w:eastAsia="仿宋_GB2312" w:cs="仿宋_GB2312"/>
          <w:color w:val="000000"/>
          <w:kern w:val="0"/>
          <w:sz w:val="31"/>
          <w:szCs w:val="31"/>
          <w:lang w:val="en-US" w:eastAsia="zh-CN" w:bidi="ar"/>
        </w:rPr>
        <w:t>中心为企业知识产权分析预警11次</w:t>
      </w:r>
      <w:r>
        <w:rPr>
          <w:rFonts w:hint="default" w:ascii="仿宋_GB2312" w:hAnsi="仿宋_GB2312" w:eastAsia="仿宋_GB2312" w:cs="仿宋_GB2312"/>
          <w:color w:val="000000"/>
          <w:kern w:val="0"/>
          <w:sz w:val="31"/>
          <w:szCs w:val="31"/>
          <w:lang w:eastAsia="zh-CN" w:bidi="ar"/>
        </w:rPr>
        <w:t>；</w:t>
      </w:r>
      <w:r>
        <w:rPr>
          <w:rFonts w:hint="default" w:ascii="仿宋_GB2312" w:hAnsi="仿宋_GB2312" w:eastAsia="仿宋_GB2312" w:cs="仿宋_GB2312"/>
          <w:color w:val="000000"/>
          <w:kern w:val="0"/>
          <w:sz w:val="31"/>
          <w:szCs w:val="31"/>
          <w:lang w:val="en-US" w:eastAsia="zh-CN" w:bidi="ar"/>
        </w:rPr>
        <w:t>4</w:t>
      </w:r>
      <w:r>
        <w:rPr>
          <w:rFonts w:hint="default" w:ascii="仿宋_GB2312" w:hAnsi="仿宋_GB2312" w:eastAsia="仿宋_GB2312" w:cs="仿宋_GB2312"/>
          <w:color w:val="000000"/>
          <w:kern w:val="0"/>
          <w:sz w:val="31"/>
          <w:szCs w:val="31"/>
          <w:lang w:eastAsia="zh-CN" w:bidi="ar"/>
        </w:rPr>
        <w:t>.</w:t>
      </w:r>
      <w:r>
        <w:rPr>
          <w:rFonts w:hint="default" w:ascii="仿宋_GB2312" w:hAnsi="仿宋_GB2312" w:eastAsia="仿宋_GB2312" w:cs="仿宋_GB2312"/>
          <w:color w:val="000000"/>
          <w:kern w:val="0"/>
          <w:sz w:val="31"/>
          <w:szCs w:val="31"/>
          <w:lang w:val="en-US" w:eastAsia="zh-CN" w:bidi="ar"/>
        </w:rPr>
        <w:t>26</w:t>
      </w:r>
      <w:r>
        <w:rPr>
          <w:rFonts w:hint="default" w:ascii="仿宋_GB2312" w:hAnsi="仿宋_GB2312" w:eastAsia="仿宋_GB2312" w:cs="仿宋_GB2312"/>
          <w:color w:val="000000"/>
          <w:kern w:val="0"/>
          <w:sz w:val="31"/>
          <w:szCs w:val="31"/>
          <w:lang w:eastAsia="zh-CN" w:bidi="ar"/>
        </w:rPr>
        <w:t>知识产权宣传周</w:t>
      </w:r>
      <w:r>
        <w:rPr>
          <w:rFonts w:hint="default" w:ascii="仿宋_GB2312" w:hAnsi="仿宋_GB2312" w:eastAsia="仿宋_GB2312" w:cs="仿宋_GB2312"/>
          <w:color w:val="000000"/>
          <w:kern w:val="0"/>
          <w:sz w:val="31"/>
          <w:szCs w:val="31"/>
          <w:lang w:val="en-US" w:eastAsia="zh-CN" w:bidi="ar"/>
        </w:rPr>
        <w:t>活动提供驻场维权援助</w:t>
      </w:r>
      <w:r>
        <w:rPr>
          <w:rFonts w:hint="default" w:ascii="仿宋_GB2312" w:hAnsi="仿宋_GB2312" w:eastAsia="仿宋_GB2312" w:cs="仿宋_GB2312"/>
          <w:color w:val="000000"/>
          <w:kern w:val="0"/>
          <w:sz w:val="31"/>
          <w:szCs w:val="31"/>
          <w:lang w:eastAsia="zh-CN" w:bidi="ar"/>
        </w:rPr>
        <w:t>1</w:t>
      </w:r>
      <w:r>
        <w:rPr>
          <w:rFonts w:hint="default" w:ascii="仿宋_GB2312" w:hAnsi="仿宋_GB2312" w:eastAsia="仿宋_GB2312" w:cs="仿宋_GB2312"/>
          <w:color w:val="000000"/>
          <w:kern w:val="0"/>
          <w:sz w:val="31"/>
          <w:szCs w:val="31"/>
          <w:lang w:val="en-US" w:eastAsia="zh-CN" w:bidi="ar"/>
        </w:rPr>
        <w:t>次，</w:t>
      </w:r>
      <w:r>
        <w:rPr>
          <w:rFonts w:hint="default" w:ascii="仿宋_GB2312" w:hAnsi="仿宋_GB2312" w:eastAsia="仿宋_GB2312" w:cs="仿宋_GB2312"/>
          <w:color w:val="000000"/>
          <w:kern w:val="0"/>
          <w:sz w:val="31"/>
          <w:szCs w:val="31"/>
          <w:lang w:eastAsia="zh-CN" w:bidi="ar"/>
        </w:rPr>
        <w:t>为辖区内企业提供精准维权援助服务；</w:t>
      </w:r>
      <w:r>
        <w:rPr>
          <w:rFonts w:hint="default" w:ascii="仿宋_GB2312" w:hAnsi="仿宋_GB2312" w:eastAsia="仿宋_GB2312" w:cs="仿宋_GB2312"/>
          <w:color w:val="000000"/>
          <w:kern w:val="0"/>
          <w:sz w:val="31"/>
          <w:szCs w:val="31"/>
          <w:lang w:val="en-US" w:eastAsia="zh-CN" w:bidi="ar"/>
        </w:rPr>
        <w:t>开展公益培训3次，受理企业咨询数量77次，受理维权援助立案25件</w:t>
      </w:r>
      <w:r>
        <w:rPr>
          <w:rFonts w:hint="default" w:ascii="仿宋_GB2312" w:hAnsi="仿宋_GB2312" w:eastAsia="仿宋_GB2312" w:cs="仿宋_GB2312"/>
          <w:color w:val="000000"/>
          <w:kern w:val="0"/>
          <w:sz w:val="31"/>
          <w:szCs w:val="31"/>
          <w:lang w:eastAsia="zh-CN" w:bidi="ar"/>
        </w:rPr>
        <w:t>，</w:t>
      </w:r>
      <w:r>
        <w:rPr>
          <w:rFonts w:hint="default" w:ascii="仿宋_GB2312" w:hAnsi="仿宋_GB2312" w:eastAsia="仿宋_GB2312" w:cs="仿宋_GB2312"/>
          <w:color w:val="000000"/>
          <w:kern w:val="0"/>
          <w:sz w:val="31"/>
          <w:szCs w:val="31"/>
          <w:lang w:val="en-US" w:eastAsia="zh-CN" w:bidi="ar"/>
        </w:rPr>
        <w:t>结案20件</w:t>
      </w:r>
      <w:r>
        <w:rPr>
          <w:rFonts w:hint="default" w:ascii="仿宋_GB2312" w:hAnsi="仿宋_GB2312" w:eastAsia="仿宋_GB2312" w:cs="仿宋_GB2312"/>
          <w:color w:val="000000"/>
          <w:kern w:val="0"/>
          <w:sz w:val="31"/>
          <w:szCs w:val="31"/>
          <w:lang w:eastAsia="zh-CN" w:bidi="ar"/>
        </w:rPr>
        <w:t>；</w:t>
      </w:r>
      <w:r>
        <w:rPr>
          <w:rFonts w:hint="default" w:ascii="仿宋_GB2312" w:hAnsi="仿宋_GB2312" w:eastAsia="仿宋_GB2312" w:cs="仿宋_GB2312"/>
          <w:color w:val="000000"/>
          <w:kern w:val="0"/>
          <w:sz w:val="31"/>
          <w:szCs w:val="31"/>
          <w:lang w:val="en-US" w:eastAsia="zh-CN" w:bidi="ar"/>
        </w:rPr>
        <w:t>调解立案4件，结案4件</w:t>
      </w:r>
      <w:r>
        <w:rPr>
          <w:rFonts w:hint="default" w:ascii="仿宋_GB2312" w:hAnsi="仿宋_GB2312" w:eastAsia="仿宋_GB2312" w:cs="仿宋_GB2312"/>
          <w:color w:val="000000"/>
          <w:kern w:val="0"/>
          <w:sz w:val="31"/>
          <w:szCs w:val="31"/>
          <w:lang w:eastAsia="zh-CN" w:bidi="ar"/>
        </w:rPr>
        <w:t>。</w:t>
      </w:r>
    </w:p>
    <w:p>
      <w:pPr>
        <w:keepNext w:val="0"/>
        <w:keepLines w:val="0"/>
        <w:widowControl w:val="0"/>
        <w:numPr>
          <w:ilvl w:val="0"/>
          <w:numId w:val="0"/>
        </w:numPr>
        <w:suppressLineNumbers w:val="0"/>
        <w:spacing w:before="0" w:beforeAutospacing="0" w:after="0" w:afterAutospacing="0"/>
        <w:ind w:left="0" w:right="0"/>
        <w:jc w:val="both"/>
        <w:rPr>
          <w:rFonts w:hint="default" w:ascii="仿宋_GB2312" w:hAnsi="仿宋_GB2312" w:eastAsia="仿宋_GB2312" w:cs="仿宋_GB2312"/>
          <w:color w:val="000000"/>
          <w:kern w:val="0"/>
          <w:sz w:val="31"/>
          <w:szCs w:val="31"/>
          <w:lang w:eastAsia="zh-CN" w:bidi="ar"/>
        </w:rPr>
      </w:pPr>
      <w:r>
        <w:rPr>
          <w:rFonts w:hint="default" w:ascii="仿宋_GB2312" w:hAnsi="仿宋_GB2312" w:eastAsia="仿宋_GB2312" w:cs="仿宋_GB2312"/>
          <w:color w:val="000000"/>
          <w:kern w:val="0"/>
          <w:sz w:val="31"/>
          <w:szCs w:val="31"/>
          <w:lang w:eastAsia="zh-CN" w:bidi="ar"/>
        </w:rPr>
        <w:t xml:space="preserve">    1-4月，中心</w:t>
      </w:r>
      <w:r>
        <w:rPr>
          <w:rFonts w:hint="default" w:ascii="仿宋_GB2312" w:hAnsi="仿宋_GB2312" w:eastAsia="仿宋_GB2312" w:cs="仿宋_GB2312"/>
          <w:color w:val="000000"/>
          <w:kern w:val="0"/>
          <w:sz w:val="31"/>
          <w:szCs w:val="31"/>
          <w:lang w:val="en-US" w:eastAsia="zh-CN" w:bidi="ar"/>
        </w:rPr>
        <w:t>为企业</w:t>
      </w:r>
      <w:r>
        <w:rPr>
          <w:rFonts w:hint="default" w:ascii="仿宋_GB2312" w:hAnsi="仿宋_GB2312" w:eastAsia="仿宋_GB2312" w:cs="仿宋_GB2312"/>
          <w:color w:val="000000"/>
          <w:kern w:val="0"/>
          <w:sz w:val="31"/>
          <w:szCs w:val="31"/>
          <w:lang w:eastAsia="zh-CN" w:bidi="ar"/>
        </w:rPr>
        <w:t>提供</w:t>
      </w:r>
      <w:r>
        <w:rPr>
          <w:rFonts w:hint="default" w:ascii="仿宋_GB2312" w:hAnsi="仿宋_GB2312" w:eastAsia="仿宋_GB2312" w:cs="仿宋_GB2312"/>
          <w:color w:val="000000"/>
          <w:kern w:val="0"/>
          <w:sz w:val="31"/>
          <w:szCs w:val="31"/>
          <w:lang w:val="en-US" w:eastAsia="zh-CN" w:bidi="ar"/>
        </w:rPr>
        <w:t>知识产权分析预警</w:t>
      </w:r>
      <w:r>
        <w:rPr>
          <w:rFonts w:hint="default" w:ascii="仿宋_GB2312" w:hAnsi="仿宋_GB2312" w:eastAsia="仿宋_GB2312" w:cs="仿宋_GB2312"/>
          <w:color w:val="000000"/>
          <w:kern w:val="0"/>
          <w:sz w:val="31"/>
          <w:szCs w:val="31"/>
          <w:lang w:eastAsia="zh-CN" w:bidi="ar"/>
        </w:rPr>
        <w:t>共</w:t>
      </w:r>
      <w:r>
        <w:rPr>
          <w:rFonts w:hint="default" w:ascii="仿宋_GB2312" w:hAnsi="仿宋_GB2312" w:eastAsia="仿宋_GB2312" w:cs="仿宋_GB2312"/>
          <w:color w:val="000000"/>
          <w:kern w:val="0"/>
          <w:sz w:val="31"/>
          <w:szCs w:val="31"/>
          <w:lang w:val="en-US" w:eastAsia="zh-CN" w:bidi="ar"/>
        </w:rPr>
        <w:t>20次</w:t>
      </w:r>
      <w:r>
        <w:rPr>
          <w:rFonts w:hint="default" w:ascii="仿宋_GB2312" w:hAnsi="仿宋_GB2312" w:eastAsia="仿宋_GB2312" w:cs="仿宋_GB2312"/>
          <w:color w:val="000000"/>
          <w:kern w:val="0"/>
          <w:sz w:val="31"/>
          <w:szCs w:val="31"/>
          <w:lang w:eastAsia="zh-CN" w:bidi="ar"/>
        </w:rPr>
        <w:t>；开展</w:t>
      </w:r>
      <w:r>
        <w:rPr>
          <w:rFonts w:hint="default" w:ascii="仿宋_GB2312" w:hAnsi="仿宋_GB2312" w:eastAsia="仿宋_GB2312" w:cs="仿宋_GB2312"/>
          <w:color w:val="000000"/>
          <w:kern w:val="0"/>
          <w:sz w:val="31"/>
          <w:szCs w:val="31"/>
          <w:lang w:val="en-US" w:eastAsia="zh-CN" w:bidi="ar"/>
        </w:rPr>
        <w:t>活动驻场维权援助4次，开展公益培训9次，受理企业咨询数量250次</w:t>
      </w:r>
      <w:r>
        <w:rPr>
          <w:rFonts w:hint="default" w:ascii="仿宋_GB2312" w:hAnsi="仿宋_GB2312" w:eastAsia="仿宋_GB2312" w:cs="仿宋_GB2312"/>
          <w:color w:val="000000"/>
          <w:kern w:val="0"/>
          <w:sz w:val="31"/>
          <w:szCs w:val="31"/>
          <w:lang w:eastAsia="zh-CN" w:bidi="ar"/>
        </w:rPr>
        <w:t>；</w:t>
      </w:r>
      <w:r>
        <w:rPr>
          <w:rFonts w:hint="default" w:ascii="仿宋_GB2312" w:hAnsi="仿宋_GB2312" w:eastAsia="仿宋_GB2312" w:cs="仿宋_GB2312"/>
          <w:color w:val="000000"/>
          <w:kern w:val="0"/>
          <w:sz w:val="31"/>
          <w:szCs w:val="31"/>
          <w:lang w:val="en-US" w:eastAsia="zh-CN" w:bidi="ar"/>
        </w:rPr>
        <w:t>受理维权援助立案</w:t>
      </w:r>
      <w:r>
        <w:rPr>
          <w:rFonts w:hint="default" w:ascii="仿宋_GB2312" w:hAnsi="仿宋_GB2312" w:eastAsia="仿宋_GB2312" w:cs="仿宋_GB2312"/>
          <w:color w:val="000000"/>
          <w:kern w:val="0"/>
          <w:sz w:val="31"/>
          <w:szCs w:val="31"/>
          <w:lang w:eastAsia="zh-CN" w:bidi="ar"/>
        </w:rPr>
        <w:t>共计</w:t>
      </w:r>
      <w:r>
        <w:rPr>
          <w:rFonts w:hint="default" w:ascii="仿宋_GB2312" w:hAnsi="仿宋_GB2312" w:eastAsia="仿宋_GB2312" w:cs="仿宋_GB2312"/>
          <w:color w:val="000000"/>
          <w:kern w:val="0"/>
          <w:sz w:val="31"/>
          <w:szCs w:val="31"/>
          <w:lang w:val="en-US" w:eastAsia="zh-CN" w:bidi="ar"/>
        </w:rPr>
        <w:t>51件，</w:t>
      </w:r>
      <w:r>
        <w:rPr>
          <w:rFonts w:hint="default" w:ascii="仿宋_GB2312" w:hAnsi="仿宋_GB2312" w:eastAsia="仿宋_GB2312" w:cs="仿宋_GB2312"/>
          <w:color w:val="000000"/>
          <w:kern w:val="0"/>
          <w:sz w:val="31"/>
          <w:szCs w:val="31"/>
          <w:lang w:eastAsia="zh-CN" w:bidi="ar"/>
        </w:rPr>
        <w:t>已</w:t>
      </w:r>
      <w:r>
        <w:rPr>
          <w:rFonts w:hint="default" w:ascii="仿宋_GB2312" w:hAnsi="仿宋_GB2312" w:eastAsia="仿宋_GB2312" w:cs="仿宋_GB2312"/>
          <w:color w:val="000000"/>
          <w:kern w:val="0"/>
          <w:sz w:val="31"/>
          <w:szCs w:val="31"/>
          <w:lang w:val="en-US" w:eastAsia="zh-CN" w:bidi="ar"/>
        </w:rPr>
        <w:t>结案43件</w:t>
      </w:r>
      <w:r>
        <w:rPr>
          <w:rFonts w:hint="default" w:ascii="仿宋_GB2312" w:hAnsi="仿宋_GB2312" w:eastAsia="仿宋_GB2312" w:cs="仿宋_GB2312"/>
          <w:color w:val="000000"/>
          <w:kern w:val="0"/>
          <w:sz w:val="31"/>
          <w:szCs w:val="31"/>
          <w:lang w:eastAsia="zh-CN" w:bidi="ar"/>
        </w:rPr>
        <w:t>；</w:t>
      </w:r>
      <w:r>
        <w:rPr>
          <w:rFonts w:hint="default" w:ascii="仿宋_GB2312" w:hAnsi="仿宋_GB2312" w:eastAsia="仿宋_GB2312" w:cs="仿宋_GB2312"/>
          <w:color w:val="000000"/>
          <w:kern w:val="0"/>
          <w:sz w:val="31"/>
          <w:szCs w:val="31"/>
          <w:lang w:val="en-US" w:eastAsia="zh-CN" w:bidi="ar"/>
        </w:rPr>
        <w:t>调解立案12件，结案10件</w:t>
      </w:r>
      <w:r>
        <w:rPr>
          <w:rFonts w:hint="default" w:ascii="仿宋_GB2312" w:hAnsi="仿宋_GB2312" w:eastAsia="仿宋_GB2312" w:cs="仿宋_GB2312"/>
          <w:color w:val="000000"/>
          <w:kern w:val="0"/>
          <w:sz w:val="31"/>
          <w:szCs w:val="31"/>
          <w:lang w:eastAsia="zh-CN" w:bidi="ar"/>
        </w:rPr>
        <w:t>。</w:t>
      </w:r>
    </w:p>
    <w:p>
      <w:pPr>
        <w:keepNext w:val="0"/>
        <w:keepLines w:val="0"/>
        <w:widowControl/>
        <w:numPr>
          <w:ilvl w:val="0"/>
          <w:numId w:val="0"/>
        </w:numPr>
        <w:suppressLineNumbers w:val="0"/>
        <w:jc w:val="left"/>
        <w:rPr>
          <w:rFonts w:hint="default" w:ascii="FangSong" w:hAnsi="FangSong" w:eastAsia="FangSong" w:cs="FangSong"/>
          <w:color w:val="000000"/>
          <w:kern w:val="0"/>
          <w:sz w:val="31"/>
          <w:szCs w:val="31"/>
          <w:lang w:eastAsia="zh-CN" w:bidi="ar"/>
        </w:rPr>
      </w:pPr>
    </w:p>
    <w:p>
      <w:pPr>
        <w:keepNext w:val="0"/>
        <w:keepLines w:val="0"/>
        <w:widowControl/>
        <w:numPr>
          <w:ilvl w:val="0"/>
          <w:numId w:val="0"/>
        </w:numPr>
        <w:suppressLineNumbers w:val="0"/>
        <w:ind w:leftChars="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三、时事要闻</w:t>
      </w:r>
    </w:p>
    <w:p>
      <w:pPr>
        <w:keepNext w:val="0"/>
        <w:keepLines w:val="0"/>
        <w:widowControl/>
        <w:suppressLineNumbers w:val="0"/>
        <w:jc w:val="left"/>
        <w:rPr>
          <w:rFonts w:hint="eastAsia" w:ascii="FZXiaoBiaoSong-B05S" w:hAnsi="FZXiaoBiaoSong-B05S" w:eastAsia="FZXiaoBiaoSong-B05S" w:cs="FZXiaoBiaoSong-B05S"/>
          <w:color w:val="000000"/>
          <w:kern w:val="0"/>
          <w:sz w:val="31"/>
          <w:szCs w:val="31"/>
          <w:lang w:val="en-US" w:eastAsia="zh-CN" w:bidi="ar"/>
        </w:rPr>
      </w:pPr>
      <w:r>
        <w:rPr>
          <w:rFonts w:ascii="FangSong" w:hAnsi="FangSong" w:eastAsia="FangSong" w:cs="FangSong"/>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全国要闻</w:t>
      </w:r>
    </w:p>
    <w:p>
      <w:pPr>
        <w:keepNext w:val="0"/>
        <w:keepLines w:val="0"/>
        <w:widowControl/>
        <w:suppressLineNumbers w:val="0"/>
        <w:jc w:val="left"/>
        <w:rPr>
          <w:rFonts w:hint="eastAsia" w:ascii="FZXiaoBiaoSong-B05S" w:hAnsi="FZXiaoBiaoSong-B05S" w:eastAsia="FZXiaoBiaoSong-B05S" w:cs="FZXiaoBiaoSong-B05S"/>
          <w:color w:val="000000"/>
          <w:kern w:val="0"/>
          <w:sz w:val="31"/>
          <w:szCs w:val="31"/>
          <w:lang w:val="en-US" w:eastAsia="zh-CN" w:bidi="ar"/>
        </w:rPr>
      </w:pPr>
    </w:p>
    <w:p>
      <w:pPr>
        <w:keepNext w:val="0"/>
        <w:keepLines w:val="0"/>
        <w:widowControl/>
        <w:suppressLineNumbers w:val="0"/>
        <w:jc w:val="center"/>
        <w:rPr>
          <w:rFonts w:hint="eastAsia" w:ascii="FZXiaoBiaoSong-B05S" w:hAnsi="FZXiaoBiaoSong-B05S" w:eastAsia="FZXiaoBiaoSong-B05S" w:cs="FZXiaoBiaoSong-B05S"/>
          <w:color w:val="000000"/>
          <w:kern w:val="0"/>
          <w:sz w:val="31"/>
          <w:szCs w:val="31"/>
          <w:lang w:val="en-US" w:eastAsia="zh-CN" w:bidi="ar"/>
        </w:rPr>
      </w:pPr>
      <w:r>
        <w:rPr>
          <w:rFonts w:hint="eastAsia" w:ascii="FZXiaoBiaoSong-B05S" w:hAnsi="FZXiaoBiaoSong-B05S" w:eastAsia="FZXiaoBiaoSong-B05S" w:cs="FZXiaoBiaoSong-B05S"/>
          <w:color w:val="000000"/>
          <w:kern w:val="0"/>
          <w:sz w:val="31"/>
          <w:szCs w:val="31"/>
          <w:lang w:val="en-US" w:eastAsia="zh-CN" w:bidi="ar"/>
        </w:rPr>
        <w:t>国家知识产权强国建设工作部际联席会议第二次全体会议召开</w:t>
      </w:r>
    </w:p>
    <w:p>
      <w:pPr>
        <w:keepNext w:val="0"/>
        <w:keepLines w:val="0"/>
        <w:widowControl/>
        <w:suppressLineNumbers w:val="0"/>
        <w:jc w:val="right"/>
        <w:rPr>
          <w:rFonts w:hint="eastAsia"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2025-04-09</w:t>
      </w:r>
    </w:p>
    <w:p>
      <w:pPr>
        <w:pStyle w:val="4"/>
        <w:keepNext w:val="0"/>
        <w:keepLines w:val="0"/>
        <w:widowControl/>
        <w:suppressLineNumbers w:val="0"/>
        <w:shd w:val="clear" w:fill="FFFFFF"/>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近日，国家知识产权强国建设工作部际联席会议第二次全体会议在京召开。会议深入学习贯彻习近平总书记关于知识产权工作的重要指示论述精神，认真落实党中央、国务院决策部署，总结成绩经验，分析形势任务，部署下一阶段重点工作。联席会议召集人和各成员单位负责同志出席会议。</w:t>
      </w:r>
    </w:p>
    <w:p>
      <w:pPr>
        <w:pStyle w:val="4"/>
        <w:keepNext w:val="0"/>
        <w:keepLines w:val="0"/>
        <w:widowControl/>
        <w:suppressLineNumbers w:val="0"/>
        <w:shd w:val="clear" w:fill="FFFFFF"/>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会议指出，2024年，联席会议各部门单位深入学习贯彻习近平总书记重要指示精神，认真落实党中央、国务院决策部署，加强协同配合和部门联动，推动我国知识产权创造量质齐升，知识产权保护更加严格，知识产权运用效益加速显现，知识产权服务不断优化，知识产权国际合作深化拓展，知识产权强国建设迈出新的坚实步伐，取得新的显著成效。</w:t>
      </w:r>
    </w:p>
    <w:p>
      <w:pPr>
        <w:pStyle w:val="4"/>
        <w:keepNext w:val="0"/>
        <w:keepLines w:val="0"/>
        <w:widowControl/>
        <w:suppressLineNumbers w:val="0"/>
        <w:shd w:val="clear" w:fill="FFFFFF"/>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会议传达学习了习近平总书记关于知识产权工作的重要指示论述和党中央、国务院新部署新要求，明确了2025年知识产权强国建设重点任务。一是共同编制好知识产权“十五五”规划，按步骤、分阶段扎实推进知识产权强国建设。二是共同推动知识产权领域改革，不断提升知识产权管理效能。三是共同促进知识产权高效益运用，确保专利转化运用专项行动实现预期目标，各类知识产权运用效益持续提升。四是共同推进知识产权高标准保护，唱响知识产权保护“合奏曲”，完善大保护工作格局。五是共同打造知识产权高品质服务，满足各类创新主体和经营主体的多样化需求。六是共同推进知识产权国际合作，更好助力高水平对外开放。</w:t>
      </w:r>
    </w:p>
    <w:p>
      <w:pPr>
        <w:pStyle w:val="4"/>
        <w:keepNext w:val="0"/>
        <w:keepLines w:val="0"/>
        <w:widowControl/>
        <w:suppressLineNumbers w:val="0"/>
        <w:shd w:val="clear" w:fill="FFFFFF"/>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会议审议通过了《2025年知识产权强国建设推进计划》。</w:t>
      </w:r>
    </w:p>
    <w:p>
      <w:pPr>
        <w:pStyle w:val="4"/>
        <w:keepNext w:val="0"/>
        <w:keepLines w:val="0"/>
        <w:widowControl/>
        <w:suppressLineNumbers w:val="0"/>
        <w:shd w:val="clear" w:fill="FFFFFF"/>
        <w:spacing w:before="0" w:beforeAutospacing="0"/>
        <w:jc w:val="left"/>
        <w:rPr>
          <w:rFonts w:hint="default" w:ascii="仿宋_GB2312" w:hAnsi="仿宋_GB2312" w:eastAsia="仿宋_GB2312" w:cs="仿宋_GB2312"/>
          <w:color w:val="000000"/>
          <w:kern w:val="0"/>
          <w:sz w:val="31"/>
          <w:szCs w:val="31"/>
          <w:lang w:val="en-US" w:eastAsia="zh-CN" w:bidi="ar"/>
        </w:rPr>
      </w:pPr>
    </w:p>
    <w:p>
      <w:pPr>
        <w:pStyle w:val="3"/>
        <w:keepNext w:val="0"/>
        <w:keepLines w:val="0"/>
        <w:widowControl/>
        <w:suppressLineNumbers w:val="0"/>
        <w:spacing w:before="0" w:beforeAutospacing="0" w:line="18" w:lineRule="atLeast"/>
        <w:ind w:left="0" w:firstLine="0"/>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2025年全国知识产权宣传周主场活动在京举行</w:t>
      </w:r>
    </w:p>
    <w:p>
      <w:pPr>
        <w:keepNext w:val="0"/>
        <w:keepLines w:val="0"/>
        <w:widowControl/>
        <w:suppressLineNumbers w:val="0"/>
        <w:jc w:val="righ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2025-04-23</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21日，由全国知识产权宣传周活动组委会主办的2025年全国知识产权宣传周主场活动在北京举行。宣传周活动组委会主任单位负责同志、国家知识产权局局长申长雨，中央宣传部部务会成员、中央精神文明建设办公室专职副主任胡凯红，国家市场监督管理总局副局长白清元出席活动并致辞。世界知识产权组织（WIPO）总干事邓鸿森作视频致辞。最高人民法院副院长陶凯元、最高人民检察院副检察长宫鸣、中国国际贸易促进委员会副会长于健龙，北京市人民政府副市长孙硕，世界知识产权组织助理总干事夏目健一郎出席主场活动。国家知识产权局副局长胡文辉主持活动并介绍宣传周期间组委会各成员单位主要活动安排。</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今年全国知识产权宣传周活动的时间为4月20日至26日，活动主题为“知识产权与人工智能”，将集中展示知识产权对人工智能领域发展的支撑促进作用，以及人工智能推动知识产权制度革新、治理效能提升的有关情况，充分体现人工智能与知识产权之间共生演进、双向赋能、融合发展的紧密联系。</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申长雨表示，过去一年，在以习近平同志为核心的党中央坚强领导下，我国知识产权事业取得了新的显著成绩。特别是积极回应新领域、新业态、新模式发展需要，推动完善人工智能相关知识产权制度规则，加快人工智能技术在知识产权领域的运用，推动知识产权工作数字化转型和智能化升级，知识产权治理效能不断提升。下一步，国家知识产权局将深入学习贯彻习近平总书记关于人工智能和知识产权工作的重要指示论述，落实党中央、国务院决策部署，加快完善人工智能等新领域新业态知识产权保护规则，依托人工智能技术赋能知识产权工作全链条，加快知识产权强国建设，更好服务中国式现代化。</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胡凯红表示，在以习近平同志为核心的党中央坚强领导下，版权战线锚定建设版权强国的宏伟目标，推动版权事业取得历史性成就，走出了一条中国特色版权发展之路。人工智能、大数据等新技术作为新一轮科技革命和产业变革的重要驱动力量，给版权带来了挑战和机遇。要以中国式现代化为指引，准确把握建设版权强国的新任务新要求，进一步增强做好新时代版权工作的政治担当和使命意识，持续发挥版权助力培育和发展新质生产力、增强人民精神力量、打造一流营商环境、促进高水平对外开放的重要作用，在以中国式现代化全面推进强国建设、民族复兴伟业中贡献版权力量。</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白清元表示，市场监管总局全面贯彻习近平总书记重要指示精神和党中央、国务院决策部署，通过强化知识产权执法，依法保护各类经营主体的知识产权。人工智能作为当今科技发展的重要驱动力，正在对知识产权领域产生着深远影响。市场监管总局将加强人工智能知识产权执法保护，促进人工智能技术创新与发展；加强人工智能在行政执法中的运用，推动数字技术与执法办案有机融合；加强知识产权全链条保护，协同相关行政司法部门，共同促进我国知识产权保护水平持续提升，为建设创新型国家、推进中国式现代化贡献更大力量。</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邓鸿森表示，今年是中国专利法实施四十周年，这是中国知识产权发展历程的重要里程碑。中国在WIPO全球创新指数排名中居第11位，位居中等收入经济体之首，拥有的全球百强科技集群数量也位居世界首位。在深度科学和数字技术两大引擎的推动下，中国数字技术领域的专利申请量占到全球专利申请总量的1/3。今年世界知识产权日的主题为“知识产权和音乐：感受知识产权的节拍”，旨在关注知识产权如何帮助创作者将他们的艺术、音乐和作品推向世界，促进发展。</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宣传周主场活动现场发布了专利转化运用优秀案例和中国在共建“一带一路”国家和地区发明专利优秀案例。人工智能企业代表就强化知识产权保护和运用宣读倡议书。</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宣传周期间，组委会各成员单位和各个地方将通过多种方式集中开展知识产权宣传普及，共同营造“尊重知识、崇尚创新、诚信守法、公平竞争”的知识产权文化氛围。</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国家知识产权局党组班子成员卢鹏起、张志成，专利局负责同志出席活动。宣传周活动组委会成员单位有关司局负责同志，国家知识产权局有关部门负责同志，人工智能领域创新型企业、知识产权服务机构代表等参加活动。</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p>
    <w:p>
      <w:pPr>
        <w:pStyle w:val="3"/>
        <w:keepNext w:val="0"/>
        <w:keepLines w:val="0"/>
        <w:widowControl/>
        <w:suppressLineNumbers w:val="0"/>
        <w:spacing w:before="0" w:beforeAutospacing="0" w:line="18" w:lineRule="atLeast"/>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2025中国知识产权保护高层论坛在京举办</w:t>
      </w:r>
    </w:p>
    <w:p>
      <w:pPr>
        <w:keepNext w:val="0"/>
        <w:keepLines w:val="0"/>
        <w:widowControl/>
        <w:suppressLineNumbers w:val="0"/>
        <w:pBdr>
          <w:bottom w:val="single" w:color="DEE2E6" w:sz="6" w:space="0"/>
        </w:pBdr>
        <w:jc w:val="righ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2025-04-24</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21日，由中国知识产权报社和世界知识产权组织中国办事处共同主办的2025中国知识产权保护高层论坛在京举办。论坛主题为“机遇与挑战：人工智能背景下的知识产权治理”。国家知识产权局局长申长雨、最高人民检察院副检察长宫鸣、北京市副市长孙硕，世界知识产权组织助理总干事夏目健一郎出席论坛开幕式并致辞。开幕式由国家知识产权局副局长胡文辉主持。</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申长雨指出，人工智能是新一轮科技革命和产业变革的重要驱动力量，其技术创新和产业发展与知识产权工作密切相关。国家知识产权局将深入学习贯彻习近平总书记关于人工智能和知识产权工作的重要论述，积极推进人工智能相关知识产权制度创新，提高知识产权保护和运用水平，参与人工智能领域知识产权全球治理，持续促进知识产权与人工智能共生演进、融合发展，更好服务中国式现代化。</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宫鸣表示，检察机关坚持依法严格保护，以法治方式回应技术变革，推动构建符合新技术发展规律的知识产权保护规则体系，更好服务科技强国和知识产权强国建设。最高人民检察院将持续深化知识产权检察综合履职，不断强化知识产权综合司法保护，为激发创新创造活力、推动经济社会高质量发展贡献检察智慧和力量。</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孙硕表示，北京市委、市政府牢牢把握首都城市战略定位，着力打造国际科技创新中心，构建“算力—数据—资本—人才”全要素的人工智能发展生态，推动北京成为具有全球影响力的人工智能创新策源地和产业高地。接下来，将统筹推进“人工智能+”时代的数智化转型，为首都经济社会高质量发展注入强大动力。</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夏目健一郎表示，当前，人工智能与知识产权的交汇日益深入，知识产权在推动负责任的人工智能发展方面发挥着关键作用。在生成式人工智能领域的全球十大专利持有者中，超半数是来自中国的企业和科研机构。期待此次论坛能为人工智能与知识产权的融合发展开辟更多新思路。</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在论坛主旨演讲环节，来自高校和创新型企业的嘉宾，从理论思考和创新实践等方面分享了促进人工智能与知识产权良性互动、协调发展的思路和举措。</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中国知识产权保护高层论坛从2016年创办至今，已经成功举办了八届，受到社会各界的广泛关注和热情参与。本届论坛还设有地理标志赋能乡村振兴、专利复审无效制度赋能经济高质量发展、AI时代知识产权保护与创新生态构建等3场分论坛。来自国家部委、高校和科研机构、企业和知识产权服务机构的代表参加论坛。</w:t>
      </w:r>
    </w:p>
    <w:p>
      <w:pPr>
        <w:pStyle w:val="4"/>
        <w:keepNext w:val="0"/>
        <w:keepLines w:val="0"/>
        <w:widowControl/>
        <w:suppressLineNumbers w:val="0"/>
        <w:spacing w:before="0" w:beforeAutospacing="0"/>
        <w:ind w:left="0" w:firstLine="420"/>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fill="FFFFFF"/>
        <w:spacing w:before="0" w:beforeAutospacing="0"/>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专利法实施40周年座谈会在京召开</w:t>
      </w:r>
    </w:p>
    <w:p>
      <w:pPr>
        <w:pStyle w:val="4"/>
        <w:keepNext w:val="0"/>
        <w:keepLines w:val="0"/>
        <w:widowControl/>
        <w:suppressLineNumbers w:val="0"/>
        <w:spacing w:before="0" w:beforeAutospacing="0"/>
        <w:ind w:left="0" w:firstLine="420"/>
        <w:jc w:val="righ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2025-04-24</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21日，由全国知识产权宣传周活动组委会主办的2025年全国知识产权宣传周主场活动在北京举行。宣传周活动组委会主任单位负责同志、国家知识产权局局长申长雨，中央宣传部部务会成员、中央精神文明建设办公室专职副主任胡凯红，国家市场监督管理总局副局长白清元出席活动并致辞。世界知识产权组织（WIPO）总干事邓鸿森作视频致辞。最高人民法院副院长陶凯元、最高人民检察院副检察长宫鸣、中国国际贸易促进委员会副会长于健龙，北京市人民政府副市长孙硕，世界知识产权组织助理总干事夏目健一郎出席主场活动。国家知识产权局副局长胡文辉主持活动并介绍宣传周期间组委会各成员单位主要活动安排。</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21日，由国家知识产权局主办的专利法实施40周年座谈会在北京召开。会议深入学习贯彻习近平法治思想和习近平总书记关于知识产权工作的重要指示论述精神，系统总结专利法实施40年来对我国经济社会发展的服务促进作用，深入探讨新征程上不断完善专利法律制度，稳步推进知识产权强国建设的具体举措。国家知识产权局局长申长雨出席会议并致辞。</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申长雨指出，40年来，特别是党的十八大以来，在以习近平同志为核心的党中央坚强领导下，在各方面的关心支持和参与推动下，我国专利事业取得了历史性成就。专利法新一轮修改顺利完成，实现了法律制度的与时俱进；专利数量和质量稳步提升，我国成为名副其实的专利大国；专利保护越来越严格，有效激发了全社会的创新活力；专利转化运用加速推进，越来越多的专利成功转化为现实生产力；专利领域的国际合作不断深化，国际影响力和话语权持续提升。所有这些不仅有力促进了我国科学技术进步和经济社会发展，也为全球专利体系建设和创新生态形成作出了重要贡献，得到国际社会的高度评价。</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申长雨强调，当今世界百年未有之大变局正在加速演进，新一轮科技革命和产业变革深入发展，给专利制度带来新的挑战。党中央着眼中国式现代化全局，对知识产权工作作出新的战略部署。站在新的历史起点上，要坚持以习近平新时代中国特色社会主义思想为指导，进一步提高专利工作法治化水平，更好助力高水平科技自立自强，促进高水平对外开放，服务高标准市场体系建设。要持续完善专利法律制度，做好事业发展规划；着力提高专利质量，加快实现由专利大国到专利强国的转变；持续强化专利保护，有效维护权利人的合法权益；大力促进专利转化运用，更好支撑产业转型升级；深化专利领域国际合作交流，提升国际话语权和影响力。</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国家知识产权局副局长张志成主持会议并作总结。他强调，全局全系统要更加紧密地团结在以习近平同志为核心的党中央周围，加强知识产权法治保障，不断完善专利法律法规，促进专利事业高质量发展，努力推动知识产权强国建设再上新台阶。</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座谈会上，国家知识产权局原副局长廖涛，全国人大常委会、最高人民法院、最高人民检察院有关部门代表，专家学者、创新主体、代理机构代表先后发言，结合工作实际谈了与专利法有关的发展历程和工作体会。司法部等中央和国家机关有关部门单位，知识产权局系统有关代表参加座谈会。</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p>
    <w:p>
      <w:pPr>
        <w:pStyle w:val="3"/>
        <w:keepNext w:val="0"/>
        <w:keepLines w:val="0"/>
        <w:widowControl/>
        <w:suppressLineNumbers w:val="0"/>
        <w:spacing w:before="0" w:beforeAutospacing="0" w:line="18" w:lineRule="atLeast"/>
        <w:ind w:left="0" w:firstLine="0"/>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2025中国知识产权保护高层论坛地理标志分论坛在京举办</w:t>
      </w:r>
    </w:p>
    <w:p>
      <w:pPr>
        <w:keepNext w:val="0"/>
        <w:keepLines w:val="0"/>
        <w:widowControl/>
        <w:suppressLineNumbers w:val="0"/>
        <w:pBdr>
          <w:bottom w:val="single" w:color="DEE2E6" w:sz="6" w:space="0"/>
        </w:pBdr>
        <w:ind w:left="0" w:firstLine="0"/>
        <w:jc w:val="righ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2025-04-26</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4月21日，2025中国知识产权保护高层论坛“地理标志赋能乡村振兴——产业融合创新与可持续发展”分论坛在北京举办。国家知识产权局副局长胡文辉出席论坛并致辞。</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胡文辉表示，近年来，国家知识产权局认真落实习近平总书记关于知识产权工作的重要指示论述，持续推进地理标志工作，地理标志审查确权量质齐升、示范试点有效推进、涉外合作走深走实。希望各方接下来聚焦高标准引领、高水平保护、高质量发展、高效率赋能，以更高站位、更宽视野推动地理标志工作高质量发展。</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论坛上，国家知识产权局发布了第一批国家地理标志保护示范区典型案例。在主旨演讲、GI对话环节，来自政、产、研等方面的专家学者交流地理标志产业发展经验，探讨地理标志保护新路径。</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p>
    <w:p>
      <w:pPr>
        <w:pStyle w:val="3"/>
        <w:keepNext w:val="0"/>
        <w:keepLines w:val="0"/>
        <w:widowControl/>
        <w:suppressLineNumbers w:val="0"/>
        <w:spacing w:before="0" w:beforeAutospacing="0" w:line="18" w:lineRule="atLeast"/>
        <w:ind w:left="0" w:firstLine="0"/>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《二〇二四年中国知识产权保护状况》白皮书正式发布</w:t>
      </w:r>
    </w:p>
    <w:p>
      <w:pPr>
        <w:keepNext w:val="0"/>
        <w:keepLines w:val="0"/>
        <w:widowControl/>
        <w:suppressLineNumbers w:val="0"/>
        <w:pBdr>
          <w:bottom w:val="single" w:color="DEE2E6" w:sz="6" w:space="0"/>
        </w:pBdr>
        <w:jc w:val="righ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2025-04-26</w:t>
      </w:r>
    </w:p>
    <w:p>
      <w:pPr>
        <w:pStyle w:val="4"/>
        <w:keepNext w:val="0"/>
        <w:keepLines w:val="0"/>
        <w:widowControl/>
        <w:suppressLineNumbers w:val="0"/>
        <w:shd w:val="clear" w:fill="FFFFFF"/>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近日，《二〇二四年中国知识产权保护状况》白皮书（以下简称“白皮书”）正式发布。白皮书从保护成效、制度建设、审批登记、文化建设、国际合作等五个方面介绍了2024年度中国知识产权保护进展和成效。</w:t>
      </w:r>
    </w:p>
    <w:p>
      <w:pPr>
        <w:pStyle w:val="4"/>
        <w:keepNext w:val="0"/>
        <w:keepLines w:val="0"/>
        <w:widowControl/>
        <w:suppressLineNumbers w:val="0"/>
        <w:shd w:val="clear" w:fill="FFFFFF"/>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保护成效方面，知识产权保护水平不断提升，全国法院新收知识产权民事一审案件45万件，检察机关受理侵犯知识产权审查逮捕案件7646件，公安机关立案侦办侵犯知识产权和制售伪劣商品刑事案件3.7万件，市场监管部门查办商标、专利等领域违法案件4.39万件，知识产权管理部门办理专利侵权纠纷行政案件7.2万件；重点领域监管力度持续加大，各相关部门组织开展多个行政执法专项行动，成果显著；知识产权保护体制机制改革不断深化，知识产权领域改革创新迈出坚实步伐。2024年，中国知识产权保护社会满意度得分提高到82.36分，再创新高。制度建设方面。知识产权法治保障继续夯实，全年制修订知识产权法律法规和规章约20部，制定相关司法解释2部，出台知识产权保护相关规范性文件、政策文件20余部，出台地方性法规11部。审批登记方面。知识产权审查效率和质量持续提高，截至2024年底，中国发明专利有效量为568.9万件，同比增长14.0%；中国有效注册商标量为4977.7万件，同比增长7.9%；著作权年登记总量为1063.06万件，同比增长19.13%；累计认定地理标志产品2544个。2024年全年受理农业植物新品种权申请14839件，同比增长3.93%；受理林草植物新品种权申请1338件；受理知识产权海关保护备案申请29541件。文化建设方面。知识产权文化传播矩阵持续拓展，通过举办全国知识产权宣传周等大型活动、多频次召开新闻发布会、充分利用对外交流合作平台、发布知识产权系列报告和典型案例、加强教育培训等多途径渠道，全方位展示中国知识产权保护成效。国际合作方面。深度参与全球知识产权治理，举办2024年国际保护知识产权协会（AIPPI）世界知识产权大会，习近平主席向大会致贺信；举办第三届“一带一路”知识产权高级别会议，继续深化与世界知识产权组织等国际组织以及各国、各地区知识产权机构的交流合作，持续加强与相关国家（地区）司法合作与联合执法。</w:t>
      </w:r>
    </w:p>
    <w:p>
      <w:pPr>
        <w:pStyle w:val="4"/>
        <w:keepNext w:val="0"/>
        <w:keepLines w:val="0"/>
        <w:widowControl/>
        <w:suppressLineNumbers w:val="0"/>
        <w:shd w:val="clear" w:fill="FFFFFF"/>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自1998年起，中国连续20余年发布年度知识产权保护状况白皮书，是国内外各界了解中国知识产权保护最新进展与成效的重要窗口，充分彰显中国政府全面强化知识产权保护的坚定决心。</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p>
    <w:p>
      <w:pPr>
        <w:pStyle w:val="3"/>
        <w:keepNext w:val="0"/>
        <w:keepLines w:val="0"/>
        <w:widowControl/>
        <w:suppressLineNumbers w:val="0"/>
        <w:spacing w:before="0" w:beforeAutospacing="0" w:line="18" w:lineRule="atLeast"/>
        <w:ind w:left="0" w:firstLine="0"/>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国家知识产权局举办开放日活动</w:t>
      </w:r>
    </w:p>
    <w:p>
      <w:pPr>
        <w:keepNext w:val="0"/>
        <w:keepLines w:val="0"/>
        <w:widowControl/>
        <w:suppressLineNumbers w:val="0"/>
        <w:pBdr>
          <w:bottom w:val="single" w:color="DEE2E6" w:sz="6" w:space="0"/>
        </w:pBdr>
        <w:ind w:left="0" w:firstLine="0"/>
        <w:jc w:val="righ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2025-04-27</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4月25日，在第25个世界知识产权日即将到来之际，国家知识产权局连续第20年举办开放日活动。国家知识产权局局长申长雨出席活动并致辞，副局长胡文辉主持主会场活动。</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申长雨在致辞中介绍了国家知识产权局基本情况。他指出，过去一年，国家知识产权局深入学习贯彻习近平总书记关于知识产权工作的重要指示论述，认真落实党中央、国务院决策部署，推动知识产权事业取得新的显著成绩，知识产权创造量质齐升、保护更加严格、运用效益加速显现、国际合作深化拓展。我国国内发明专利有效量达到475.6万件，商标有效注册量达到4762万件；知识产权保护社会满意度提高至82.36分，再创新高；首次完成全国2700多所高校和科研机构134.9万件存量专利盘点和价值分析，与45万家企业进行精准对接；在世界知识产权组织发布的《2024年全球创新指数报告》中，我国排名提升至第11位，拥有的全球百强科技集群数量达到26个，连续两年位居各国之首。希望通过开放日活动，促进社会公众更加深入地了解我国知识产权事业发展，提升尊重和保护知识产权的意识，营造世界一流的知识产权文化环境，更好服务中国式现代化建设。</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活动现场，局有关部门发布了2024年度知识产权行政保护典型案例、知识产权信息服务十佳案例和优秀案例、专利复审无效十大案件和商标异议、评审典型案例。全国15个开放日分会场进行了视频连线展示。快手集团法务副总裁、总法律顾问焦娇作为嘉宾代表作倡议发言。</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来自民盟海淀区委的有关同志，西城区市场监管局有关同志，创新主体、服务机构和高校代表，新闻媒体代表等受邀参加活动。活动期间，代表们还参观了受理大厅、审理庭、审查部门、知识产权文化展厅及“知识产权强国建设新进展新成就”主题展览，并进行了体验活动。各分会场也举办了丰富多样、精彩纷呈的开放日活动。</w:t>
      </w:r>
    </w:p>
    <w:p>
      <w:pPr>
        <w:pStyle w:val="4"/>
        <w:keepNext w:val="0"/>
        <w:keepLines w:val="0"/>
        <w:widowControl/>
        <w:suppressLineNumbers w:val="0"/>
        <w:spacing w:before="0" w:beforeAutospacing="0"/>
        <w:rPr>
          <w:rFonts w:hint="default"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ascii="FangSong" w:hAnsi="FangSong" w:eastAsia="FangSong" w:cs="FangSong"/>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国际要闻</w:t>
      </w:r>
    </w:p>
    <w:p>
      <w:pPr>
        <w:pStyle w:val="3"/>
        <w:keepNext w:val="0"/>
        <w:keepLines w:val="0"/>
        <w:widowControl/>
        <w:suppressLineNumbers w:val="0"/>
        <w:spacing w:before="0" w:beforeAutospacing="0" w:line="18" w:lineRule="atLeast"/>
        <w:ind w:left="0" w:firstLine="0"/>
        <w:jc w:val="center"/>
        <w:rPr>
          <w:rFonts w:hint="default" w:ascii="仿宋_GB2312" w:hAnsi="仿宋_GB2312" w:eastAsia="仿宋_GB2312" w:cs="仿宋_GB2312"/>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国家知识产权局与匈牙利知识产权局启动“中匈联络员机制”试点项目</w:t>
      </w:r>
    </w:p>
    <w:p>
      <w:pPr>
        <w:pStyle w:val="4"/>
        <w:keepNext w:val="0"/>
        <w:keepLines w:val="0"/>
        <w:widowControl/>
        <w:suppressLineNumbers w:val="0"/>
        <w:spacing w:before="0" w:beforeAutospacing="0"/>
        <w:ind w:left="0" w:firstLine="420"/>
        <w:jc w:val="right"/>
        <w:rPr>
          <w:rFonts w:hint="default" w:ascii="仿宋_GB2312" w:hAnsi="仿宋_GB2312" w:eastAsia="仿宋_GB2312" w:cs="仿宋_GB2312"/>
          <w:b w:val="0"/>
          <w:bCs w:val="0"/>
          <w:color w:val="000000"/>
          <w:kern w:val="0"/>
          <w:sz w:val="31"/>
          <w:szCs w:val="31"/>
          <w:lang w:val="en-US" w:eastAsia="zh-CN" w:bidi="ar"/>
        </w:rPr>
      </w:pPr>
      <w:r>
        <w:rPr>
          <w:rFonts w:hint="default" w:ascii="仿宋_GB2312" w:hAnsi="仿宋_GB2312" w:eastAsia="仿宋_GB2312" w:cs="仿宋_GB2312"/>
          <w:b w:val="0"/>
          <w:bCs w:val="0"/>
          <w:color w:val="000000"/>
          <w:kern w:val="0"/>
          <w:sz w:val="31"/>
          <w:szCs w:val="31"/>
          <w:lang w:val="en-US" w:eastAsia="zh-CN" w:bidi="ar"/>
        </w:rPr>
        <w:t>2025-04-01</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为了更好地服务中匈经贸交往，协助解决两国企业用户在对方国家知识产权方面的问题及关切，中国国家知识产权局与匈牙利知识产权局经磋商一致，决定联合开展“中匈联络员机制”试点项目。</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中匈两局将各自指定一名知识产权联络员，分别就中国企业在匈和匈牙利企业在华开展业务所涉及的知识产权问题提供咨询服务，为两国企业获得有效的知识产权保护提供支持。</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项目运行期间，中国企业如有相关咨询问题，可联系中国国家知识产权局知识产权联络员，联系方式如下：</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联络员：赵清</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邮箱：ip_support@cnipa.gov.cn</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匈牙利企业如有相关咨询问题，可联系匈牙利知识产权联络员，联系方式如下：</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联络员：Ms. Zsuzsanna Várfalviné Tari</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邮箱：zsuzsanna.tari@hipo.gov.hu</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“中匈联络员机制”试点项目为期1年，自2025年4月1日至2026年3月31日。</w:t>
      </w:r>
    </w:p>
    <w:p>
      <w:pPr>
        <w:pStyle w:val="4"/>
        <w:keepNext w:val="0"/>
        <w:keepLines w:val="0"/>
        <w:widowControl/>
        <w:suppressLineNumbers w:val="0"/>
        <w:spacing w:before="0" w:beforeAutospacing="0"/>
        <w:ind w:left="0" w:firstLine="420"/>
        <w:jc w:val="left"/>
        <w:rPr>
          <w:rFonts w:hint="default" w:ascii="FZXiaoBiaoSong-B05S" w:hAnsi="FZXiaoBiaoSong-B05S" w:eastAsia="FZXiaoBiaoSong-B05S" w:cs="FZXiaoBiaoSong-B05S"/>
          <w:b w:val="0"/>
          <w:bCs w:val="0"/>
          <w:color w:val="000000"/>
          <w:kern w:val="0"/>
          <w:sz w:val="31"/>
          <w:szCs w:val="31"/>
          <w:lang w:val="en-US" w:eastAsia="zh-CN" w:bidi="ar"/>
        </w:rPr>
      </w:pPr>
    </w:p>
    <w:p>
      <w:pPr>
        <w:pStyle w:val="3"/>
        <w:keepNext w:val="0"/>
        <w:keepLines w:val="0"/>
        <w:widowControl/>
        <w:suppressLineNumbers w:val="0"/>
        <w:spacing w:before="0" w:beforeAutospacing="0" w:line="18" w:lineRule="atLeast"/>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氮化镓专利战：中国英诺赛科公司宣告在与EPC的ITC诉讼中取得最终胜利</w:t>
      </w:r>
    </w:p>
    <w:p>
      <w:pPr>
        <w:keepNext w:val="0"/>
        <w:keepLines w:val="0"/>
        <w:widowControl/>
        <w:suppressLineNumbers w:val="0"/>
        <w:pBdr>
          <w:bottom w:val="single" w:color="DEE2E6" w:sz="6" w:space="0"/>
        </w:pBdr>
        <w:jc w:val="righ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w:t>
      </w:r>
      <w:r>
        <w:rPr>
          <w:rFonts w:hint="default" w:ascii="仿宋_GB2312" w:hAnsi="仿宋_GB2312" w:eastAsia="仿宋_GB2312" w:cs="仿宋_GB2312"/>
          <w:color w:val="000000"/>
          <w:kern w:val="0"/>
          <w:sz w:val="31"/>
          <w:szCs w:val="31"/>
          <w:lang w:val="en-US" w:eastAsia="zh-CN" w:bidi="ar"/>
        </w:rPr>
        <w:t>25-04-02</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‌背景‌：2023年5月，宜普公司（Efficient Power Conversion，EPC）针对中国企业英诺赛科（Innoscience）（苏州）技术控股有限公司向美国国际贸易委员会（ITC）提起了《1930年关税法》第337条款调查，指控其侵犯与特定氮化镓（GaN）技术相关的4项专利。随后EPC撤回其中2项专利。2024年7月7日，ITC行政法官（ALJ）克拉克．切尼（Clark Cheney）裁定其中一项专利被侵权，另一项未被侵权。2025年1月，英诺赛科就ITC关于其中一项专利的有效性和侵权的裁决向美国联邦巡回上诉法院提起上诉。</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最新进展‌：在这场旷日持久的纠纷中，英诺赛科取得了“最终胜利”——该公司于2025年3月19日宣布，在该公司证明EPC的指控“完全无事实依据”后，美国专利商标局（USPTO）宣告该ITC案件中唯一剩余的专利无效。</w:t>
      </w:r>
    </w:p>
    <w:p>
      <w:pPr>
        <w:pStyle w:val="4"/>
        <w:keepNext w:val="0"/>
        <w:keepLines w:val="0"/>
        <w:widowControl/>
        <w:suppressLineNumbers w:val="0"/>
        <w:spacing w:before="0" w:beforeAutospacing="0"/>
        <w:ind w:firstLine="620" w:firstLineChars="200"/>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直接影响与更广泛影响‌：尽管EPC仍可上诉，这一结果显然对其造成重大打击。英诺赛科目前还面临竞争对手英飞凌（Infineon）发起的另一起氮化镓专利纠纷，并于2025年1月在中国法院提起反诉。这家中国半导体企业毫无退缩迹象，它在近日的新闻稿中明确表示：“英诺赛科已准备好扫清EPC制造的纠纷，并全力专注于为全球客户开发和提供基于氮化镓技术的顶尖电源解决方案。”</w:t>
      </w:r>
    </w:p>
    <w:p>
      <w:pPr>
        <w:pStyle w:val="4"/>
        <w:keepNext w:val="0"/>
        <w:keepLines w:val="0"/>
        <w:widowControl/>
        <w:suppressLineNumbers w:val="0"/>
        <w:spacing w:before="0" w:beforeAutospacing="0"/>
        <w:ind w:left="0" w:firstLine="420"/>
        <w:rPr>
          <w:rFonts w:hint="default" w:ascii="FZXiaoBiaoSong-B05S" w:hAnsi="FZXiaoBiaoSong-B05S" w:eastAsia="FZXiaoBiaoSong-B05S" w:cs="FZXiaoBiaoSong-B05S"/>
          <w:b w:val="0"/>
          <w:bCs w:val="0"/>
          <w:color w:val="000000"/>
          <w:kern w:val="0"/>
          <w:sz w:val="31"/>
          <w:szCs w:val="31"/>
          <w:lang w:val="en-US" w:eastAsia="zh-CN" w:bidi="ar"/>
        </w:rPr>
      </w:pPr>
    </w:p>
    <w:p>
      <w:pPr>
        <w:pStyle w:val="3"/>
        <w:keepNext w:val="0"/>
        <w:keepLines w:val="0"/>
        <w:widowControl/>
        <w:suppressLineNumbers w:val="0"/>
        <w:spacing w:before="0" w:beforeAutospacing="0" w:line="18" w:lineRule="atLeast"/>
        <w:ind w:left="0" w:firstLine="0"/>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美国联邦巡回上诉法院就默克公司再颁专利的药品专利期限延迟争议作出裁定</w:t>
      </w:r>
    </w:p>
    <w:p>
      <w:pPr>
        <w:keepNext w:val="0"/>
        <w:keepLines w:val="0"/>
        <w:widowControl/>
        <w:suppressLineNumbers w:val="0"/>
        <w:pBdr>
          <w:bottom w:val="single" w:color="DEE2E6" w:sz="6" w:space="0"/>
        </w:pBdr>
        <w:ind w:left="0" w:firstLine="0"/>
        <w:jc w:val="righ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2025-04-09</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《药品价格竞争和专利期补偿法》（Hatch-Waxman Act）旨在通过为制药商提供额外专利保护以激励其开发创新药物，同时为仿制药制造商缩短监管审查程序、使其能在专利到期后快速将专利品牌药的仿制版本推向市场，从而实现制药行业的平衡。该法案提供的额外专利保护包括：若美国食品药品监督管理局（FDA）对新品牌药的审查时间超出该药物专利授权后的期限，则可获得最长5年的专利期限延长（“PTE”）。专利有效期通常为申请日起20年。但由于FDA药物审查可能耗时数年，《药品价格竞争和专利期补偿法》试图补偿新药专利所有者在以下两个阶段因无法上市而造成的时间损失：（1）专利已授权；（2）药物仍处于监管审查期间。</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近期，联邦巡回上诉法院在一份先例意见书中‌确认了地区法院的裁决，即PTE在原专利授权日基础上最多增加5年保护期，即使该专利后续被再颁发‌。专利权人可申请再颁专利以修正原专利中的错误，而再颁专利将使原专利“失效”。在该裁决所涉及的案件中，默克公司（Merck）就“舒更葡糖”（sugammadex）申请了专利（“’340专利”），该专利于2003年12月30日授权，原定于2021年1月27日到期。2004年4月13日，默克公司申请FDA批准舒更葡糖。在FDA审批期间，默克公司于2012年为’340专利提交了再颁申请以补充其范围更窄的权利要求，再颁专利于2014年1月28日授权。FDA于2015年12月15日批准舒更葡糖，这意味着默克公司“在’340专利原始有效期近12年间无法销售该药物”。基于这些事实，仿制药制造商奥罗宾多（Aurobindo）主张：PTE的计算不应基于2003年12月（原专利授权）至2015年12月（FDA批准）的最长5年期限，而应仅涵盖2014年1月（再颁专利授权）至2015年12月。联邦巡回上诉法院驳回了这一论点，其理由是，若采纳仿制药厂商的解释，因监管延误而得不到充分补偿，从而损害该法的宗旨。</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药品价格竞争和专利期补偿法》旨在平衡品牌药与仿制药制造商的利益。联邦巡回上诉法院的裁决表明：‌制药专利持有人可自由提交再颁发申请以修正错误，无需担心其专利期限可能被缩短‌。另一方面，正如法院所述，专利挑战者需注意该裁决引发的“难题”——若再颁专利通过“修正”权利要求以覆盖原专利未涵盖的药物，则专利持有人可能通过将某药物纳入再颁专利来延长其保护期。</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若再颁专利覆盖的药物与原专利不同，则可能形成潜在漏洞，因为即使FDA未延迟再颁专利覆盖药物的上市时间，专利权人仍可为再颁专利申请PTE。但本案中，联邦巡回上诉法院未直接回应这些难题，因为默克的再颁专利是限缩了权利要求范围。</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bookmarkStart w:id="0" w:name="_GoBack"/>
      <w:bookmarkEnd w:id="0"/>
    </w:p>
    <w:p>
      <w:pPr>
        <w:keepNext w:val="0"/>
        <w:keepLines w:val="0"/>
        <w:widowControl/>
        <w:numPr>
          <w:ilvl w:val="0"/>
          <w:numId w:val="0"/>
        </w:numPr>
        <w:suppressLineNumbers w:val="0"/>
        <w:ind w:leftChars="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四、动态信息</w:t>
      </w:r>
    </w:p>
    <w:p>
      <w:pPr>
        <w:pStyle w:val="4"/>
        <w:keepNext w:val="0"/>
        <w:keepLines w:val="0"/>
        <w:widowControl/>
        <w:suppressLineNumbers w:val="0"/>
        <w:shd w:val="clear" w:color="auto" w:fill="FFFFFF"/>
        <w:spacing w:before="0" w:beforeAutospacing="0"/>
        <w:jc w:val="center"/>
        <w:rPr>
          <w:rFonts w:hint="eastAsia" w:ascii="FZXiaoBiaoSong-B05S" w:hAnsi="FZXiaoBiaoSong-B05S" w:eastAsia="FZXiaoBiaoSong-B05S" w:cs="FZXiaoBiaoSong-B05S"/>
          <w:b w:val="0"/>
          <w:bCs w:val="0"/>
          <w:color w:val="000000"/>
          <w:kern w:val="0"/>
          <w:sz w:val="31"/>
          <w:szCs w:val="31"/>
          <w:lang w:val="en-US" w:eastAsia="zh-CN" w:bidi="ar"/>
        </w:rPr>
      </w:pPr>
      <w:r>
        <w:rPr>
          <w:rFonts w:hint="eastAsia" w:ascii="FZXiaoBiaoSong-B05S" w:hAnsi="FZXiaoBiaoSong-B05S" w:eastAsia="FZXiaoBiaoSong-B05S" w:cs="FZXiaoBiaoSong-B05S"/>
          <w:b w:val="0"/>
          <w:bCs w:val="0"/>
          <w:color w:val="000000"/>
          <w:kern w:val="0"/>
          <w:sz w:val="31"/>
          <w:szCs w:val="31"/>
          <w:lang w:val="en-US" w:eastAsia="zh-CN" w:bidi="ar"/>
        </w:rPr>
        <w:t>黄岩知识产权一站式服务平台正式上线</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月22日，台州黄岩（塑料制品）知识产权快速维权中心举办黄岩知识产权一站式服务平台上线仪式。平台以创新主体需求为导向、以知识产权转化运用为驱动，整合本地知识产权服务相关部门、专家库、信息库等资源，建设了包括维权援助、快速保护、查询检索、知产培训、导航运营、注册缴费等六大服务模块，致力于提供知识产权查询、申请、管理、保护、培训等功能于一体的综合性服务。</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此平台的上线，不仅提升了黄岩区知识产权服务水平，还进一步优化了营商和创新环境。各类创新主体可以便捷地获取专利申请、商标注册、侵权维权等各类知识产权服务，实现知识产权服务的“一站式”办理。</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下一步，黄岩区将持续完善知识产权公共服务体系，提升一站式服务平台的覆盖面与服务体验，为黄岩区知识产权事业高质量发展注入新的生机和活力。</w:t>
      </w:r>
    </w:p>
    <w:p>
      <w:pPr>
        <w:pStyle w:val="4"/>
        <w:keepNext w:val="0"/>
        <w:keepLines w:val="0"/>
        <w:widowControl/>
        <w:suppressLineNumbers w:val="0"/>
        <w:spacing w:before="0" w:beforeAutospacing="0"/>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color="auto" w:fill="FFFFFF"/>
        <w:spacing w:before="0" w:beforeAutospacing="0"/>
        <w:jc w:val="center"/>
        <w:rPr>
          <w:rFonts w:hint="eastAsia" w:ascii="FZXiaoBiaoSong-B05S" w:hAnsi="FZXiaoBiaoSong-B05S" w:eastAsia="FZXiaoBiaoSong-B05S" w:cs="FZXiaoBiaoSong-B05S"/>
          <w:b w:val="0"/>
          <w:bCs w:val="0"/>
          <w:color w:val="000000"/>
          <w:kern w:val="0"/>
          <w:sz w:val="31"/>
          <w:szCs w:val="31"/>
          <w:lang w:val="en-US" w:eastAsia="zh-CN" w:bidi="ar"/>
        </w:rPr>
      </w:pPr>
      <w:r>
        <w:rPr>
          <w:rFonts w:hint="eastAsia" w:ascii="FZXiaoBiaoSong-B05S" w:hAnsi="FZXiaoBiaoSong-B05S" w:eastAsia="FZXiaoBiaoSong-B05S" w:cs="FZXiaoBiaoSong-B05S"/>
          <w:b w:val="0"/>
          <w:bCs w:val="0"/>
          <w:color w:val="000000"/>
          <w:kern w:val="0"/>
          <w:sz w:val="31"/>
          <w:szCs w:val="31"/>
          <w:lang w:val="en-US" w:eastAsia="zh-CN" w:bidi="ar"/>
        </w:rPr>
        <w:t>黄岩区</w:t>
      </w:r>
      <w:r>
        <w:rPr>
          <w:rFonts w:hint="default" w:ascii="FZXiaoBiaoSong-B05S" w:hAnsi="FZXiaoBiaoSong-B05S" w:eastAsia="FZXiaoBiaoSong-B05S" w:cs="FZXiaoBiaoSong-B05S"/>
          <w:b w:val="0"/>
          <w:bCs w:val="0"/>
          <w:color w:val="000000"/>
          <w:kern w:val="0"/>
          <w:sz w:val="31"/>
          <w:szCs w:val="31"/>
          <w:lang w:val="en-US" w:eastAsia="zh-CN" w:bidi="ar"/>
        </w:rPr>
        <w:t>镇、街道</w:t>
      </w:r>
      <w:r>
        <w:rPr>
          <w:rFonts w:hint="eastAsia" w:ascii="FZXiaoBiaoSong-B05S" w:hAnsi="FZXiaoBiaoSong-B05S" w:eastAsia="FZXiaoBiaoSong-B05S" w:cs="FZXiaoBiaoSong-B05S"/>
          <w:b w:val="0"/>
          <w:bCs w:val="0"/>
          <w:color w:val="000000"/>
          <w:kern w:val="0"/>
          <w:sz w:val="31"/>
          <w:szCs w:val="31"/>
          <w:lang w:val="en-US" w:eastAsia="zh-CN" w:bidi="ar"/>
        </w:rPr>
        <w:t>知识产权工作会议</w:t>
      </w:r>
      <w:r>
        <w:rPr>
          <w:rFonts w:hint="default" w:ascii="FZXiaoBiaoSong-B05S" w:hAnsi="FZXiaoBiaoSong-B05S" w:eastAsia="FZXiaoBiaoSong-B05S" w:cs="FZXiaoBiaoSong-B05S"/>
          <w:b w:val="0"/>
          <w:bCs w:val="0"/>
          <w:color w:val="000000"/>
          <w:kern w:val="0"/>
          <w:sz w:val="31"/>
          <w:szCs w:val="31"/>
          <w:lang w:val="en-US" w:eastAsia="zh-CN" w:bidi="ar"/>
        </w:rPr>
        <w:t>在</w:t>
      </w:r>
      <w:r>
        <w:rPr>
          <w:rFonts w:hint="eastAsia" w:ascii="FZXiaoBiaoSong-B05S" w:hAnsi="FZXiaoBiaoSong-B05S" w:eastAsia="FZXiaoBiaoSong-B05S" w:cs="FZXiaoBiaoSong-B05S"/>
          <w:b w:val="0"/>
          <w:bCs w:val="0"/>
          <w:color w:val="000000"/>
          <w:kern w:val="0"/>
          <w:sz w:val="31"/>
          <w:szCs w:val="31"/>
          <w:lang w:val="en-US" w:eastAsia="zh-CN" w:bidi="ar"/>
        </w:rPr>
        <w:t>黄岩快维中心召开</w:t>
      </w:r>
    </w:p>
    <w:p>
      <w:pPr>
        <w:pStyle w:val="4"/>
        <w:keepNext w:val="0"/>
        <w:keepLines w:val="0"/>
        <w:widowControl/>
        <w:suppressLineNumbers w:val="0"/>
        <w:shd w:val="clear" w:color="auto" w:fill="FFFFFF"/>
        <w:spacing w:before="0" w:beforeAutospacing="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4月22日，黄岩区</w:t>
      </w:r>
      <w:r>
        <w:rPr>
          <w:rFonts w:hint="default" w:ascii="仿宋_GB2312" w:hAnsi="仿宋_GB2312" w:eastAsia="仿宋_GB2312" w:cs="仿宋_GB2312"/>
          <w:color w:val="000000"/>
          <w:kern w:val="0"/>
          <w:sz w:val="31"/>
          <w:szCs w:val="31"/>
          <w:lang w:val="en-US" w:eastAsia="zh-CN" w:bidi="ar"/>
        </w:rPr>
        <w:t>镇、街道</w:t>
      </w:r>
      <w:r>
        <w:rPr>
          <w:rFonts w:hint="eastAsia" w:ascii="仿宋_GB2312" w:hAnsi="仿宋_GB2312" w:eastAsia="仿宋_GB2312" w:cs="仿宋_GB2312"/>
          <w:color w:val="000000"/>
          <w:kern w:val="0"/>
          <w:sz w:val="31"/>
          <w:szCs w:val="31"/>
          <w:lang w:val="en-US" w:eastAsia="zh-CN" w:bidi="ar"/>
        </w:rPr>
        <w:t>知识产权工作会议在台州黄岩（塑料制品）知识产权快速维权中心召开，区市监局党委委员、副局长洪颂东</w:t>
      </w:r>
      <w:r>
        <w:rPr>
          <w:rFonts w:hint="default"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各</w:t>
      </w:r>
      <w:r>
        <w:rPr>
          <w:rFonts w:hint="default" w:ascii="仿宋_GB2312" w:hAnsi="仿宋_GB2312" w:eastAsia="仿宋_GB2312" w:cs="仿宋_GB2312"/>
          <w:color w:val="000000"/>
          <w:kern w:val="0"/>
          <w:sz w:val="31"/>
          <w:szCs w:val="31"/>
          <w:lang w:val="en-US" w:eastAsia="zh-CN" w:bidi="ar"/>
        </w:rPr>
        <w:t>镇、</w:t>
      </w:r>
      <w:r>
        <w:rPr>
          <w:rFonts w:hint="eastAsia" w:ascii="仿宋_GB2312" w:hAnsi="仿宋_GB2312" w:eastAsia="仿宋_GB2312" w:cs="仿宋_GB2312"/>
          <w:color w:val="000000"/>
          <w:kern w:val="0"/>
          <w:sz w:val="31"/>
          <w:szCs w:val="31"/>
          <w:lang w:val="en-US" w:eastAsia="zh-CN" w:bidi="ar"/>
        </w:rPr>
        <w:t>街道</w:t>
      </w:r>
      <w:r>
        <w:rPr>
          <w:rFonts w:hint="default" w:ascii="仿宋_GB2312" w:hAnsi="仿宋_GB2312" w:eastAsia="仿宋_GB2312" w:cs="仿宋_GB2312"/>
          <w:color w:val="000000"/>
          <w:kern w:val="0"/>
          <w:sz w:val="31"/>
          <w:szCs w:val="31"/>
          <w:lang w:val="en-US" w:eastAsia="zh-CN" w:bidi="ar"/>
        </w:rPr>
        <w:t>分管领导</w:t>
      </w:r>
      <w:r>
        <w:rPr>
          <w:rFonts w:hint="eastAsia" w:ascii="仿宋_GB2312" w:hAnsi="仿宋_GB2312" w:eastAsia="仿宋_GB2312" w:cs="仿宋_GB2312"/>
          <w:color w:val="000000"/>
          <w:kern w:val="0"/>
          <w:sz w:val="31"/>
          <w:szCs w:val="31"/>
          <w:lang w:val="en-US" w:eastAsia="zh-CN" w:bidi="ar"/>
        </w:rPr>
        <w:t>、各市场监管所</w:t>
      </w:r>
      <w:r>
        <w:rPr>
          <w:rFonts w:hint="default" w:ascii="仿宋_GB2312" w:hAnsi="仿宋_GB2312" w:eastAsia="仿宋_GB2312" w:cs="仿宋_GB2312"/>
          <w:color w:val="000000"/>
          <w:kern w:val="0"/>
          <w:sz w:val="31"/>
          <w:szCs w:val="31"/>
          <w:lang w:val="en-US" w:eastAsia="zh-CN" w:bidi="ar"/>
        </w:rPr>
        <w:t>负责人</w:t>
      </w:r>
      <w:r>
        <w:rPr>
          <w:rFonts w:hint="eastAsia" w:ascii="仿宋_GB2312" w:hAnsi="仿宋_GB2312" w:eastAsia="仿宋_GB2312" w:cs="仿宋_GB2312"/>
          <w:color w:val="000000"/>
          <w:kern w:val="0"/>
          <w:sz w:val="31"/>
          <w:szCs w:val="31"/>
          <w:lang w:val="en-US" w:eastAsia="zh-CN" w:bidi="ar"/>
        </w:rPr>
        <w:t>等参加会议。</w:t>
      </w:r>
    </w:p>
    <w:p>
      <w:pPr>
        <w:pStyle w:val="4"/>
        <w:keepNext w:val="0"/>
        <w:keepLines w:val="0"/>
        <w:widowControl/>
        <w:suppressLineNumbers w:val="0"/>
        <w:spacing w:before="0" w:beforeAutospacing="0"/>
        <w:ind w:firstLine="620" w:firstLineChars="20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会上，洪颂东副局长</w:t>
      </w:r>
      <w:r>
        <w:rPr>
          <w:rFonts w:hint="default" w:ascii="仿宋_GB2312" w:hAnsi="仿宋_GB2312" w:eastAsia="仿宋_GB2312" w:cs="仿宋_GB2312"/>
          <w:color w:val="000000"/>
          <w:kern w:val="0"/>
          <w:sz w:val="31"/>
          <w:szCs w:val="31"/>
          <w:lang w:val="en-US" w:eastAsia="zh-CN" w:bidi="ar"/>
        </w:rPr>
        <w:t>介绍了知识产权强区建设取得的实效</w:t>
      </w:r>
      <w:r>
        <w:rPr>
          <w:rFonts w:hint="eastAsia" w:ascii="仿宋_GB2312" w:hAnsi="仿宋_GB2312" w:eastAsia="仿宋_GB2312" w:cs="仿宋_GB2312"/>
          <w:color w:val="000000"/>
          <w:kern w:val="0"/>
          <w:sz w:val="31"/>
          <w:szCs w:val="31"/>
          <w:lang w:val="en-US" w:eastAsia="zh-CN" w:bidi="ar"/>
        </w:rPr>
        <w:t>，强调当前正面临新质生产力跃迁升级的新形势、新挑战，必须不断加快知识产权强区的建设步伐</w:t>
      </w:r>
      <w:r>
        <w:rPr>
          <w:rFonts w:hint="default" w:ascii="仿宋_GB2312" w:hAnsi="仿宋_GB2312" w:eastAsia="仿宋_GB2312" w:cs="仿宋_GB2312"/>
          <w:color w:val="000000"/>
          <w:kern w:val="0"/>
          <w:sz w:val="31"/>
          <w:szCs w:val="31"/>
          <w:lang w:val="en-US" w:eastAsia="zh-CN" w:bidi="ar"/>
        </w:rPr>
        <w:t>，区快维中心负责人介绍了快维中心职能及运行以来取得的成果，与会人员</w:t>
      </w:r>
      <w:r>
        <w:rPr>
          <w:rFonts w:hint="eastAsia" w:ascii="仿宋_GB2312" w:hAnsi="仿宋_GB2312" w:eastAsia="仿宋_GB2312" w:cs="仿宋_GB2312"/>
          <w:color w:val="000000"/>
          <w:kern w:val="0"/>
          <w:sz w:val="31"/>
          <w:szCs w:val="31"/>
          <w:lang w:val="en-US" w:eastAsia="zh-CN" w:bidi="ar"/>
        </w:rPr>
        <w:t>围绕知识产权如何深度赋能区域重点产业开展深入交流探讨。</w:t>
      </w:r>
    </w:p>
    <w:p>
      <w:pPr>
        <w:pStyle w:val="4"/>
        <w:keepNext w:val="0"/>
        <w:keepLines w:val="0"/>
        <w:widowControl/>
        <w:suppressLineNumbers w:val="0"/>
        <w:spacing w:before="0" w:beforeAutospacing="0"/>
        <w:ind w:firstLine="620" w:firstLineChars="200"/>
        <w:rPr>
          <w:rFonts w:hint="eastAsia"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color="auto" w:fill="FFFFFF"/>
        <w:spacing w:before="0" w:beforeAutospacing="0"/>
        <w:jc w:val="center"/>
        <w:rPr>
          <w:rFonts w:hint="eastAsia" w:ascii="FZXiaoBiaoSong-B05S" w:hAnsi="FZXiaoBiaoSong-B05S" w:eastAsia="FZXiaoBiaoSong-B05S" w:cs="FZXiaoBiaoSong-B05S"/>
          <w:b w:val="0"/>
          <w:bCs w:val="0"/>
          <w:color w:val="000000"/>
          <w:kern w:val="0"/>
          <w:sz w:val="31"/>
          <w:szCs w:val="31"/>
          <w:lang w:val="en-US" w:eastAsia="zh-CN" w:bidi="ar"/>
        </w:rPr>
      </w:pPr>
      <w:r>
        <w:rPr>
          <w:rFonts w:hint="eastAsia" w:ascii="FZXiaoBiaoSong-B05S" w:hAnsi="FZXiaoBiaoSong-B05S" w:eastAsia="FZXiaoBiaoSong-B05S" w:cs="FZXiaoBiaoSong-B05S"/>
          <w:b w:val="0"/>
          <w:bCs w:val="0"/>
          <w:color w:val="000000"/>
          <w:kern w:val="0"/>
          <w:sz w:val="31"/>
          <w:szCs w:val="31"/>
          <w:lang w:val="en-US" w:eastAsia="zh-CN" w:bidi="ar"/>
        </w:rPr>
        <w:t>黄岩快维中心深入企业走访 精准服务知识产权需求</w:t>
      </w:r>
    </w:p>
    <w:p>
      <w:pPr>
        <w:pStyle w:val="4"/>
        <w:keepNext w:val="0"/>
        <w:keepLines w:val="0"/>
        <w:widowControl/>
        <w:suppressLineNumbers w:val="0"/>
        <w:spacing w:before="0" w:beforeAutospacing="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值此“4.26”知识产权宣传周，为进一步提高企业知识产权保护、运用能力和水平，推动创新性企业发展，台州黄岩（塑料制品）知识产权快速维权中心开展入企走访系列活动，零距离问需于企，精准送服务上门。</w:t>
      </w:r>
    </w:p>
    <w:p>
      <w:pPr>
        <w:pStyle w:val="4"/>
        <w:keepNext w:val="0"/>
        <w:keepLines w:val="0"/>
        <w:widowControl/>
        <w:suppressLineNumbers w:val="0"/>
        <w:spacing w:before="0" w:beforeAutospacing="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黄岩快维中心组织业务骨干及知识产权领域专家深入走访企业10余家，详细了解了企业的发展现状、研发创新、企业文化、知识产权保护等情况，以“精准把脉、靶向施策”为原则，围绕提升科技成果转化、应对不正当竞争行为、加强知识产权风险防控等关键问题，与企业进行了深入交流与探讨。通过案例分析、政策解读和实践指导，为企业量身定制了切实可行的维权策略与创新方法，帮助企业摆脱维权困境，增强核心竞争力。企业对黄岩快维中心的主动服务与积极作为表示衷心感谢，并表示将以此为契机，进一步完善知识产权管理体系，积极维护自身合法权益，为区域经济高质量发展注入新动能。</w:t>
      </w:r>
    </w:p>
    <w:p>
      <w:pPr>
        <w:pStyle w:val="4"/>
        <w:keepNext w:val="0"/>
        <w:keepLines w:val="0"/>
        <w:widowControl/>
        <w:suppressLineNumbers w:val="0"/>
        <w:spacing w:before="0" w:beforeAutospacing="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此次活动不仅为企业解决了实际困难，也为深化政企沟通机制、打造优质营商环境树立了典范。下一步，黄岩快维中心将继续以企业需求为导向，深化知识产权综合服务，助力企业创新发展，为推动知识产权强区建设贡献力量。</w:t>
      </w:r>
    </w:p>
    <w:p>
      <w:pPr>
        <w:pStyle w:val="4"/>
        <w:keepNext w:val="0"/>
        <w:keepLines w:val="0"/>
        <w:widowControl/>
        <w:suppressLineNumbers w:val="0"/>
        <w:spacing w:before="0" w:beforeAutospacing="0"/>
        <w:ind w:firstLine="620" w:firstLineChars="200"/>
        <w:jc w:val="left"/>
        <w:rPr>
          <w:rFonts w:hint="eastAsia"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color="auto" w:fill="FFFFFF"/>
        <w:spacing w:before="0" w:beforeAutospacing="0"/>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黄岩快维中心开展“同读一本创新经典书、共上一堂知识产权课”知识产权进校园主题活动</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为深入推进中小学知识产权教育，持续提升青少年知识产权保护意识。4月25日，台州黄岩（塑料制品）知识产权快速维权中心走进樊川小学，开展知识产权进校园主题讲座，为200余名师生带来一场集专业知识与趣味互动于一体的创新探索之旅。</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课堂上，黄岩快维中心工作人员以通俗易懂的语言，深入浅出地进行普法宣讲，结合山寨品牌模仿知名品牌商标等生活中常见的侵权案例，对专利、商标、版权等知识产权的基础知识进行详细讲解。这种理论与实践相结合的教学方式，极大激发了同学们的学习兴趣。在最后的问答环节中，同学们积极踊跃参与，不仅能够准确回答知识产权相关问题，还能结合生活实例进行解释展现出对知识产权保护的深入思考。</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此次活动通过设置知识产权宣传角、赠送知识产权书籍、开设知识产权普法课程等形式，将法律知识融入趣味实践，为学生种下尊重创新、探索奥秘、保护成果的种子。下一步，黄岩快维中心将开展“青苗计划”，与辖区内各小学共建知识产权科普教育体系，持续深化知识产权教育与实践融合，强化学生创新意识和保护意识。</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color="auto" w:fill="FFFFFF"/>
        <w:spacing w:before="0" w:beforeAutospacing="0"/>
        <w:jc w:val="center"/>
        <w:rPr>
          <w:rFonts w:hint="eastAsia" w:ascii="FZXiaoBiaoSong-B05S" w:hAnsi="FZXiaoBiaoSong-B05S" w:eastAsia="FZXiaoBiaoSong-B05S" w:cs="FZXiaoBiaoSong-B05S"/>
          <w:b w:val="0"/>
          <w:bCs w:val="0"/>
          <w:color w:val="000000"/>
          <w:kern w:val="0"/>
          <w:sz w:val="31"/>
          <w:szCs w:val="31"/>
          <w:lang w:val="en-US" w:eastAsia="zh-CN" w:bidi="ar"/>
        </w:rPr>
      </w:pPr>
      <w:r>
        <w:rPr>
          <w:rFonts w:hint="eastAsia" w:ascii="FZXiaoBiaoSong-B05S" w:hAnsi="FZXiaoBiaoSong-B05S" w:eastAsia="FZXiaoBiaoSong-B05S" w:cs="FZXiaoBiaoSong-B05S"/>
          <w:b w:val="0"/>
          <w:bCs w:val="0"/>
          <w:color w:val="000000"/>
          <w:kern w:val="0"/>
          <w:sz w:val="31"/>
          <w:szCs w:val="31"/>
          <w:lang w:val="en-US" w:eastAsia="zh-CN" w:bidi="ar"/>
        </w:rPr>
        <w:t>黄岩快维中心举办“数据经济领域知识产权保护”公益培训</w:t>
      </w:r>
    </w:p>
    <w:p>
      <w:pPr>
        <w:pStyle w:val="4"/>
        <w:keepNext w:val="0"/>
        <w:keepLines w:val="0"/>
        <w:widowControl/>
        <w:suppressLineNumbers w:val="0"/>
        <w:spacing w:before="0" w:beforeAutospacing="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为提升区域创新主体知识产权转化运用保护能力，有效防范知识产权侵权风险，4月25日，台州黄岩（塑料制品）知识产权快速维权中心邀请中国计量大学法学院专家，开展“数据经济领域知识产权保护”专题培训。</w:t>
      </w:r>
    </w:p>
    <w:p>
      <w:pPr>
        <w:pStyle w:val="4"/>
        <w:keepNext w:val="0"/>
        <w:keepLines w:val="0"/>
        <w:widowControl/>
        <w:suppressLineNumbers w:val="0"/>
        <w:spacing w:before="0" w:beforeAutospacing="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此次培训参与企业50余家，参训人数达100余人次，发放服务指南手册300余份。培训聚焦企业专利侵权诉讼、电商领域侵权风险防范、算力经济知识产权布局，通过政策解读、案例分析、实务指导等形式，系统解析了知识产权维权路径、专利风险防控策略及算力经济知识产权保护等问题，帮助企业提升合规意识与维权能力。</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知识产权是企业创新发展的重要支撑，也是推动经济高质量发展的关键环节。下一步，黄岩快维中心将持续提升知识产权公共服务效能，为企业创新发展提供新动能。</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color="auto" w:fill="FFFFFF"/>
        <w:spacing w:before="0" w:beforeAutospacing="0"/>
        <w:jc w:val="center"/>
        <w:rPr>
          <w:rFonts w:hint="default" w:ascii="FZXiaoBiaoSong-B05S" w:hAnsi="FZXiaoBiaoSong-B05S" w:eastAsia="FZXiaoBiaoSong-B05S" w:cs="FZXiaoBiaoSong-B05S"/>
          <w:b w:val="0"/>
          <w:bCs w:val="0"/>
          <w:color w:val="000000"/>
          <w:kern w:val="0"/>
          <w:sz w:val="31"/>
          <w:szCs w:val="31"/>
          <w:lang w:val="en-US" w:eastAsia="zh-CN" w:bidi="ar"/>
        </w:rPr>
      </w:pPr>
      <w:r>
        <w:rPr>
          <w:rFonts w:hint="default" w:ascii="FZXiaoBiaoSong-B05S" w:hAnsi="FZXiaoBiaoSong-B05S" w:eastAsia="FZXiaoBiaoSong-B05S" w:cs="FZXiaoBiaoSong-B05S"/>
          <w:b w:val="0"/>
          <w:bCs w:val="0"/>
          <w:color w:val="000000"/>
          <w:kern w:val="0"/>
          <w:sz w:val="31"/>
          <w:szCs w:val="31"/>
          <w:lang w:val="en-US" w:eastAsia="zh-CN" w:bidi="ar"/>
        </w:rPr>
        <w:t>台州市知识产权宣传周系列活动精彩回顾</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活动回顾4月20日至4月26日为全国知识产权宣传周。为加强知识产权宣传普及，提升全市知识产权保护意识，台州市围绕“知识产权与人工智能 强链兴企 智创未来”主题开展系列活动，着力构建全方位、多层次的宣传矩阵，组织开展了线上线下主题活动130场次，培训服务企业2633家，营造了尊重创新、保护产权的良好社会氛围。让我们一同回顾下这一场场知识产权盛宴吧！</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直通市场监管》4月18日，由台州市市场监管局（知识产权局）和台州市新闻传媒中心主办的《直通市场监管》节目播出“知识产权强链兴企”专题。市局知识产权处率队走进台州综合广播融媒直播室，就知识产权支撑产业发展、专利快速预审、优化区域创新环境和营商环境等内容开展访谈。</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启动仪式以“知识产权与人工智能 强链兴企 智创未来”为主题的台州市知识产权宣传周暨金融赋能知识产权助力高质量发展启动仪式在路桥拉开帷幕。此次活动由台州市市场监管局（知识产权局）、路桥区政府、市委宣传部、市中级人民法院、市公安局、台州海关、国家金融监督管理总局台州监管分局联合举办。市、区两级知识产权相关部门、金融机构、知识产权服务机构、企业代表、媒体代表等参加活动。广场活动台州市知识产权宣传周广场宣传活动在路桥中国日用品商城举行。活动现场设置了知识产权保护倡议签名墙，知识产权宣传展览区，中国专利奖、专利密集型产品、人工智能等产品展示区，向公众普及知识产权知识，展示台州在知识产权方面的成果。同时，宣传部、市场监管、法院、公安等9个部门以及服务机构、金融机构联合开展了宣传活动，涵盖现场投诉受理、维权咨询、知识产权法律服务咨询等服务。专利发布与培训4月24日，联合省知识产权保护中心面向医化企业发布“抗乳腺癌靶向药产业专利导航成果”并开展专利导航培训，临海医药相关协会代表、企业代表等参加培训。“知侨之家”4月25日，在温岭成立全省首个“知侨之家”，并授牌首批海外知识产权纠纷应对指导工作站，签署《海外知识产权合作备忘录》，为涉侨知识产权保护社会监督员颁发聘书。</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val="en-US" w:eastAsia="zh-CN" w:bidi="ar"/>
        </w:rPr>
        <w:t>椒江</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椒江举办“大陈黄鱼”地理标志海报设计大赛。参赛选手紧扣地理标志主题，围绕“大陈黄鱼”地理标志人文、地理环境、产品品质等方面展开海报设计，大赛分为作品征集、线上投票、现场解说、海报展示四个环节，吸引58名选手参赛。现场解说环节联合台州职业技术学院开展，有效提高了地理标志宣传覆盖面。</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val="en-US" w:eastAsia="zh-CN" w:bidi="ar"/>
        </w:rPr>
        <w:t>黄岩</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22日，举办黄岩知识产权“一站式”服务平台上线启动仪式。平台集知产培训、导航运营、维权援助等功能为一体，知识产权事项办理“一键即达”。4月25日，黄岩区市场监管局联合樊川书院教育集团开展“同读一本创新经典书、共上一堂知识产权课”活动，通过知识产权普法课程提高青少年知识产权意识，培育校园知识产权文化。</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3路桥</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4月23日，举办路桥区“500精英”人才创业企业高质量发展业务培训会，台州市知识产权保护中心专家作专利预审政策宣讲。</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4临海</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4月23日，临海举办助力时尚休闲产业高质量发展活动。通过知识产权共享法庭、检察工作室、警务联络官办公室揭牌，聘请知识产权公益律师、特派员，开展座谈会等，多部门联合为时尚休闲产业发展出谋划策。</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5温岭</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20日，在温岭银泰城举行首场“地标富农·橙香万里”直播活动，温岭市市场监管局亮相直播间，为“温岭高橙”打call，带领观众走进温岭地标保护的“橙”功密码。4月22日，温岭召开“金种子”计划2025年企业全生命周期普惠服务机制省级试点推进会暨金融赋能专利转化运用对接活动，政银企三方联动推出“金种子”计划超级大礼包。4月23日，温岭市市场监管局联合市侨联、市商务局举办海外知识产权保护新闻发布会，介绍该市海外知识产权保护工作总体情况、今年重点工作和相关举措，并现场回答媒体关注的问题。</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6玉环</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玉环市市场监管局开展“知产护航 上市助跑”大走访行动，为拟上市企业提供知识产权政策解读、精准业务指导和个性化服务方案，助力企业提升竞争力。</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7天台</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24日，天台县市场监管局联合公检法等部门开展4·26“知识产权与人工智能"主题知识产权普法活动，现场发放普法手册400余份，解答群众咨询60余次。现场有奖竞答吸引200余人参与，有效提升普法宣传的趣味性和参与度。</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8仙居</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月22日，仙居县市场监管局在医疗器械小镇开展知识产权宣传进园区活动，包括现场科普介绍、入企宣传、企业座谈等系列活动，走访园区企业22家。4月28日，仙居县市场监管局在中国仙居杨梅全产业链展销交流会现场搭建知识产权宣传板块，现场为参会企业、农户等介绍地理标志商标使用等知识产权相关知识，发放宣传资料。</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9三门</w:t>
      </w:r>
    </w:p>
    <w:p>
      <w:pPr>
        <w:pStyle w:val="4"/>
        <w:keepNext w:val="0"/>
        <w:keepLines w:val="0"/>
        <w:widowControl/>
        <w:suppressLineNumbers w:val="0"/>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三门县市场监管局依托中国（三门）冲锋衣高质量发展暨服装名城商洽会精准发力，以“普法宣传+专业培训”双轮驱动赋能产业创新发展。知识产权宣传周活动期间面向400余名参会者开展知识产权法规科普及AI管理应用案例宣讲，发放宣传手册，并同步组织行业定制化培训。</w:t>
      </w: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pacing w:before="0" w:beforeAutospacing="0"/>
        <w:ind w:left="0" w:firstLine="420"/>
        <w:jc w:val="left"/>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pacing w:before="0" w:beforeAutospacing="0"/>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fill="FFFFFF"/>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fill="FFFFFF"/>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fill="FFFFFF"/>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fill="FFFFFF"/>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shd w:val="clear" w:fill="FFFFFF"/>
        <w:spacing w:before="0" w:beforeAutospacing="0"/>
        <w:ind w:firstLine="620" w:firstLineChars="200"/>
        <w:jc w:val="left"/>
        <w:rPr>
          <w:rFonts w:hint="default" w:ascii="仿宋_GB2312" w:hAnsi="仿宋_GB2312" w:eastAsia="仿宋_GB2312" w:cs="仿宋_GB2312"/>
          <w:color w:val="000000"/>
          <w:kern w:val="0"/>
          <w:sz w:val="31"/>
          <w:szCs w:val="31"/>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FZXiaoBiaoSong-B05S">
    <w:panose1 w:val="03000509000000000000"/>
    <w:charset w:val="86"/>
    <w:family w:val="auto"/>
    <w:pitch w:val="default"/>
    <w:sig w:usb0="00000001" w:usb1="080E0000" w:usb2="00000000" w:usb3="00000000" w:csb0="00040000" w:csb1="00000000"/>
  </w:font>
  <w:font w:name="FangSong">
    <w:altName w:val="文泉驿微米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文泉驿微米黑"/>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CA04C"/>
    <w:multiLevelType w:val="singleLevel"/>
    <w:tmpl w:val="A7FCA04C"/>
    <w:lvl w:ilvl="0" w:tentative="0">
      <w:start w:val="1"/>
      <w:numFmt w:val="chineseCounting"/>
      <w:suff w:val="nothing"/>
      <w:lvlText w:val="%1、"/>
      <w:lvlJc w:val="left"/>
      <w:rPr>
        <w:rFonts w:hint="eastAsia"/>
      </w:rPr>
    </w:lvl>
  </w:abstractNum>
  <w:abstractNum w:abstractNumId="1">
    <w:nsid w:val="5D6E7C00"/>
    <w:multiLevelType w:val="singleLevel"/>
    <w:tmpl w:val="5D6E7C0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F9816"/>
    <w:rsid w:val="379FC16D"/>
    <w:rsid w:val="3E2BE2C9"/>
    <w:rsid w:val="4BAF73FB"/>
    <w:rsid w:val="5E6F99CD"/>
    <w:rsid w:val="67F76376"/>
    <w:rsid w:val="78BDBA29"/>
    <w:rsid w:val="7AEC22BD"/>
    <w:rsid w:val="7E2D0B85"/>
    <w:rsid w:val="7EDE4A56"/>
    <w:rsid w:val="7FBFB713"/>
    <w:rsid w:val="9F6F939F"/>
    <w:rsid w:val="A2947CDB"/>
    <w:rsid w:val="AC7D62A9"/>
    <w:rsid w:val="BF66A815"/>
    <w:rsid w:val="E3FA1A7B"/>
    <w:rsid w:val="E9BF3737"/>
    <w:rsid w:val="F6FFEB78"/>
    <w:rsid w:val="F7FD4F19"/>
    <w:rsid w:val="FDE54240"/>
    <w:rsid w:val="FDF5236F"/>
    <w:rsid w:val="FEFFB1B1"/>
    <w:rsid w:val="FFDC6B9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2025-04-23T14:25:00Z</dcterms:created>
  <dc:creator>uos</dc:creator>
  <cp:lastModifiedBy>uos</cp:lastModifiedBy>
  <dcterms:modified xsi:type="dcterms:W3CDTF">2025-06-04T11:17:24Z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